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B5" w:rsidRDefault="00746DE3" w:rsidP="008A5EB5">
      <w:pPr>
        <w:pStyle w:val="Caption"/>
        <w:keepNex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t xml:space="preserve">      Supplemental File</w:t>
      </w:r>
      <w:r w:rsidR="008A5EB5" w:rsidRPr="00F25E78">
        <w:rPr>
          <w:rFonts w:ascii="Times New Roman" w:hAnsi="Times New Roman" w:cs="Times New Roman"/>
          <w:b w:val="0"/>
          <w:color w:val="000000" w:themeColor="text1"/>
          <w:sz w:val="24"/>
          <w:szCs w:val="24"/>
        </w:rPr>
        <w:t xml:space="preserve"> </w:t>
      </w:r>
    </w:p>
    <w:p w:rsidR="00F25E78" w:rsidRPr="000E4EA7" w:rsidRDefault="004C124C" w:rsidP="00F25E78">
      <w:pPr>
        <w:rPr>
          <w:rFonts w:ascii="Times New Roman" w:hAnsi="Times New Roman" w:cs="Times New Roman"/>
          <w:sz w:val="24"/>
          <w:szCs w:val="24"/>
        </w:rPr>
      </w:pPr>
      <w:r>
        <w:tab/>
      </w:r>
      <w:r>
        <w:tab/>
      </w:r>
      <w:r>
        <w:tab/>
      </w:r>
      <w:r>
        <w:tab/>
      </w:r>
      <w:r>
        <w:tab/>
      </w:r>
      <w:r w:rsidR="000E4EA7" w:rsidRPr="000E4EA7">
        <w:rPr>
          <w:rFonts w:ascii="Times New Roman" w:hAnsi="Times New Roman" w:cs="Times New Roman"/>
          <w:sz w:val="24"/>
          <w:szCs w:val="24"/>
        </w:rPr>
        <w:t xml:space="preserve">Tennessee </w:t>
      </w:r>
      <w:r w:rsidR="000E4EA7">
        <w:rPr>
          <w:rFonts w:ascii="Times New Roman" w:hAnsi="Times New Roman" w:cs="Times New Roman"/>
          <w:sz w:val="24"/>
          <w:szCs w:val="24"/>
        </w:rPr>
        <w:tab/>
      </w:r>
      <w:r w:rsidR="000E4EA7">
        <w:rPr>
          <w:rFonts w:ascii="Times New Roman" w:hAnsi="Times New Roman" w:cs="Times New Roman"/>
          <w:sz w:val="24"/>
          <w:szCs w:val="24"/>
        </w:rPr>
        <w:tab/>
      </w:r>
      <w:r w:rsidR="000E4EA7">
        <w:rPr>
          <w:rFonts w:ascii="Times New Roman" w:hAnsi="Times New Roman" w:cs="Times New Roman"/>
          <w:sz w:val="24"/>
          <w:szCs w:val="24"/>
        </w:rPr>
        <w:tab/>
      </w:r>
      <w:r w:rsidR="000E4EA7">
        <w:rPr>
          <w:rFonts w:ascii="Times New Roman" w:hAnsi="Times New Roman" w:cs="Times New Roman"/>
          <w:sz w:val="24"/>
          <w:szCs w:val="24"/>
        </w:rPr>
        <w:tab/>
      </w:r>
      <w:r w:rsidR="000E4EA7">
        <w:rPr>
          <w:rFonts w:ascii="Times New Roman" w:hAnsi="Times New Roman" w:cs="Times New Roman"/>
          <w:sz w:val="24"/>
          <w:szCs w:val="24"/>
        </w:rPr>
        <w:tab/>
      </w:r>
      <w:r w:rsidR="000E4EA7" w:rsidRPr="000E4EA7">
        <w:rPr>
          <w:rFonts w:ascii="Times New Roman" w:hAnsi="Times New Roman" w:cs="Times New Roman"/>
          <w:sz w:val="24"/>
          <w:szCs w:val="24"/>
        </w:rPr>
        <w:t xml:space="preserve"> </w:t>
      </w:r>
      <w:r>
        <w:rPr>
          <w:rFonts w:ascii="Times New Roman" w:hAnsi="Times New Roman" w:cs="Times New Roman"/>
          <w:sz w:val="24"/>
          <w:szCs w:val="24"/>
        </w:rPr>
        <w:tab/>
      </w:r>
      <w:r w:rsidR="000E4EA7">
        <w:rPr>
          <w:rFonts w:ascii="Times New Roman" w:hAnsi="Times New Roman" w:cs="Times New Roman"/>
          <w:sz w:val="24"/>
          <w:szCs w:val="24"/>
        </w:rPr>
        <w:t xml:space="preserve"> </w:t>
      </w:r>
      <w:r>
        <w:rPr>
          <w:rFonts w:ascii="Times New Roman" w:hAnsi="Times New Roman" w:cs="Times New Roman"/>
          <w:sz w:val="24"/>
          <w:szCs w:val="24"/>
        </w:rPr>
        <w:t xml:space="preserve">Table </w:t>
      </w:r>
      <w:r w:rsidR="000E4EA7" w:rsidRPr="000E4EA7">
        <w:rPr>
          <w:rFonts w:ascii="Times New Roman" w:hAnsi="Times New Roman" w:cs="Times New Roman"/>
          <w:sz w:val="24"/>
          <w:szCs w:val="24"/>
        </w:rPr>
        <w:t>1</w:t>
      </w:r>
      <w:r w:rsidR="005A42D9">
        <w:rPr>
          <w:rFonts w:ascii="Times New Roman" w:hAnsi="Times New Roman" w:cs="Times New Roman"/>
          <w:sz w:val="24"/>
          <w:szCs w:val="24"/>
        </w:rPr>
        <w:t>B.</w:t>
      </w:r>
      <w:r w:rsidR="000E4EA7" w:rsidRPr="000E4EA7">
        <w:rPr>
          <w:rFonts w:ascii="Times New Roman" w:hAnsi="Times New Roman" w:cs="Times New Roman"/>
          <w:sz w:val="24"/>
          <w:szCs w:val="24"/>
        </w:rPr>
        <w:t xml:space="preserve"> Input-Process-Output-Outcome</w:t>
      </w:r>
      <w:r w:rsidR="005A42D9">
        <w:rPr>
          <w:rFonts w:ascii="Times New Roman" w:hAnsi="Times New Roman" w:cs="Times New Roman"/>
          <w:sz w:val="24"/>
          <w:szCs w:val="24"/>
        </w:rPr>
        <w:t xml:space="preserve"> Chart.</w:t>
      </w:r>
    </w:p>
    <w:tbl>
      <w:tblPr>
        <w:tblStyle w:val="TableGrid"/>
        <w:tblpPr w:leftFromText="180" w:rightFromText="180" w:vertAnchor="page" w:horzAnchor="margin" w:tblpY="2929"/>
        <w:tblW w:w="0" w:type="auto"/>
        <w:tblLook w:val="04A0" w:firstRow="1" w:lastRow="0" w:firstColumn="1" w:lastColumn="0" w:noHBand="0" w:noVBand="1"/>
      </w:tblPr>
      <w:tblGrid>
        <w:gridCol w:w="2245"/>
        <w:gridCol w:w="2221"/>
        <w:gridCol w:w="2195"/>
        <w:gridCol w:w="2195"/>
      </w:tblGrid>
      <w:tr w:rsidR="00257647" w:rsidTr="000E4EA7">
        <w:tc>
          <w:tcPr>
            <w:tcW w:w="2245" w:type="dxa"/>
          </w:tcPr>
          <w:p w:rsidR="00257647" w:rsidRPr="00257647" w:rsidRDefault="00066E3F" w:rsidP="000E4EA7">
            <w:pPr>
              <w:rPr>
                <w:rFonts w:ascii="Times New Roman" w:hAnsi="Times New Roman" w:cs="Times New Roman"/>
                <w:b/>
                <w:sz w:val="24"/>
                <w:szCs w:val="24"/>
              </w:rPr>
            </w:pPr>
            <w:r>
              <w:rPr>
                <w:rFonts w:ascii="Times New Roman" w:hAnsi="Times New Roman" w:cs="Times New Roman"/>
                <w:b/>
                <w:sz w:val="24"/>
                <w:szCs w:val="24"/>
              </w:rPr>
              <w:t xml:space="preserve"> </w:t>
            </w:r>
            <w:r w:rsidR="00257647">
              <w:rPr>
                <w:rFonts w:ascii="Times New Roman" w:hAnsi="Times New Roman" w:cs="Times New Roman"/>
                <w:b/>
                <w:sz w:val="24"/>
                <w:szCs w:val="24"/>
              </w:rPr>
              <w:t>Inputs</w:t>
            </w:r>
          </w:p>
        </w:tc>
        <w:tc>
          <w:tcPr>
            <w:tcW w:w="2221" w:type="dxa"/>
          </w:tcPr>
          <w:p w:rsidR="00257647" w:rsidRPr="00257647" w:rsidRDefault="00257647" w:rsidP="000E4EA7">
            <w:pPr>
              <w:rPr>
                <w:rFonts w:ascii="Times New Roman" w:hAnsi="Times New Roman" w:cs="Times New Roman"/>
                <w:b/>
                <w:sz w:val="24"/>
                <w:szCs w:val="24"/>
              </w:rPr>
            </w:pPr>
            <w:r>
              <w:rPr>
                <w:rFonts w:ascii="Times New Roman" w:hAnsi="Times New Roman" w:cs="Times New Roman"/>
                <w:b/>
                <w:sz w:val="24"/>
                <w:szCs w:val="24"/>
              </w:rPr>
              <w:t xml:space="preserve">Processes </w:t>
            </w:r>
          </w:p>
        </w:tc>
        <w:tc>
          <w:tcPr>
            <w:tcW w:w="2195" w:type="dxa"/>
          </w:tcPr>
          <w:p w:rsidR="00257647" w:rsidRPr="00257647" w:rsidRDefault="00257647" w:rsidP="000E4EA7">
            <w:pPr>
              <w:rPr>
                <w:rFonts w:ascii="Times New Roman" w:hAnsi="Times New Roman" w:cs="Times New Roman"/>
                <w:b/>
                <w:sz w:val="24"/>
                <w:szCs w:val="24"/>
              </w:rPr>
            </w:pPr>
            <w:r w:rsidRPr="00257647">
              <w:rPr>
                <w:rFonts w:ascii="Times New Roman" w:hAnsi="Times New Roman" w:cs="Times New Roman"/>
                <w:b/>
                <w:sz w:val="24"/>
                <w:szCs w:val="24"/>
              </w:rPr>
              <w:t>Outputs</w:t>
            </w:r>
          </w:p>
        </w:tc>
        <w:tc>
          <w:tcPr>
            <w:tcW w:w="2195" w:type="dxa"/>
          </w:tcPr>
          <w:p w:rsidR="00257647" w:rsidRPr="00257647" w:rsidRDefault="00257647" w:rsidP="000E4EA7">
            <w:pPr>
              <w:rPr>
                <w:rFonts w:ascii="Times New Roman" w:hAnsi="Times New Roman" w:cs="Times New Roman"/>
                <w:b/>
                <w:sz w:val="24"/>
                <w:szCs w:val="24"/>
              </w:rPr>
            </w:pPr>
            <w:r w:rsidRPr="00257647">
              <w:rPr>
                <w:rFonts w:ascii="Times New Roman" w:hAnsi="Times New Roman" w:cs="Times New Roman"/>
                <w:b/>
                <w:sz w:val="24"/>
                <w:szCs w:val="24"/>
              </w:rPr>
              <w:t>Outcomes</w:t>
            </w:r>
          </w:p>
        </w:tc>
      </w:tr>
      <w:tr w:rsidR="00E1197D" w:rsidTr="000E4EA7">
        <w:tc>
          <w:tcPr>
            <w:tcW w:w="2245" w:type="dxa"/>
          </w:tcPr>
          <w:p w:rsidR="00E1197D" w:rsidRPr="00695853" w:rsidRDefault="00E1197D" w:rsidP="000E4EA7">
            <w:pPr>
              <w:rPr>
                <w:rFonts w:ascii="Times New Roman" w:hAnsi="Times New Roman" w:cs="Times New Roman"/>
                <w:sz w:val="20"/>
                <w:szCs w:val="20"/>
              </w:rPr>
            </w:pPr>
            <w:r w:rsidRPr="00695853">
              <w:rPr>
                <w:rFonts w:ascii="Times New Roman" w:hAnsi="Times New Roman" w:cs="Times New Roman"/>
                <w:sz w:val="20"/>
                <w:szCs w:val="20"/>
              </w:rPr>
              <w:t>Ensure fair and equitable distribution of public funds to TN HEI consistent with goals of the Master Plan (3.4)</w:t>
            </w:r>
          </w:p>
        </w:tc>
        <w:tc>
          <w:tcPr>
            <w:tcW w:w="2221" w:type="dxa"/>
          </w:tcPr>
          <w:p w:rsidR="00E1197D" w:rsidRPr="00257647" w:rsidRDefault="00E1197D" w:rsidP="000E4EA7">
            <w:pPr>
              <w:rPr>
                <w:rFonts w:ascii="Times New Roman" w:hAnsi="Times New Roman" w:cs="Times New Roman"/>
                <w:sz w:val="20"/>
                <w:szCs w:val="20"/>
              </w:rPr>
            </w:pPr>
            <w:r w:rsidRPr="00257647">
              <w:rPr>
                <w:rFonts w:ascii="Times New Roman" w:hAnsi="Times New Roman" w:cs="Times New Roman"/>
                <w:sz w:val="20"/>
                <w:szCs w:val="20"/>
              </w:rPr>
              <w:t xml:space="preserve">Develop statewide </w:t>
            </w:r>
            <w:r>
              <w:rPr>
                <w:rFonts w:ascii="Times New Roman" w:hAnsi="Times New Roman" w:cs="Times New Roman"/>
                <w:sz w:val="20"/>
                <w:szCs w:val="20"/>
              </w:rPr>
              <w:t>Master Plan for TN HEI (3.1)</w:t>
            </w:r>
          </w:p>
        </w:tc>
        <w:tc>
          <w:tcPr>
            <w:tcW w:w="2195" w:type="dxa"/>
          </w:tcPr>
          <w:p w:rsidR="00E1197D" w:rsidRPr="00406232" w:rsidRDefault="00E1197D" w:rsidP="000E4EA7">
            <w:pPr>
              <w:rPr>
                <w:rFonts w:ascii="Times New Roman" w:hAnsi="Times New Roman" w:cs="Times New Roman"/>
                <w:sz w:val="20"/>
                <w:szCs w:val="20"/>
              </w:rPr>
            </w:pPr>
            <w:r w:rsidRPr="00406232">
              <w:rPr>
                <w:rFonts w:ascii="Times New Roman" w:hAnsi="Times New Roman" w:cs="Times New Roman"/>
                <w:sz w:val="20"/>
                <w:szCs w:val="20"/>
              </w:rPr>
              <w:t>Ensure increased degree production (3.1B)</w:t>
            </w:r>
          </w:p>
        </w:tc>
        <w:tc>
          <w:tcPr>
            <w:tcW w:w="2195" w:type="dxa"/>
          </w:tcPr>
          <w:p w:rsidR="00E1197D" w:rsidRPr="00257647" w:rsidRDefault="00E1197D" w:rsidP="000E4EA7">
            <w:pPr>
              <w:rPr>
                <w:rFonts w:ascii="Times New Roman" w:hAnsi="Times New Roman" w:cs="Times New Roman"/>
                <w:sz w:val="20"/>
                <w:szCs w:val="20"/>
              </w:rPr>
            </w:pPr>
            <w:r w:rsidRPr="00257647">
              <w:rPr>
                <w:rFonts w:ascii="Times New Roman" w:hAnsi="Times New Roman" w:cs="Times New Roman"/>
                <w:sz w:val="20"/>
                <w:szCs w:val="20"/>
              </w:rPr>
              <w:t>Address states’ economic development and workforce needs (3.1A)</w:t>
            </w:r>
          </w:p>
        </w:tc>
      </w:tr>
      <w:tr w:rsidR="00E1197D" w:rsidTr="000E4EA7">
        <w:tc>
          <w:tcPr>
            <w:tcW w:w="2245" w:type="dxa"/>
          </w:tcPr>
          <w:p w:rsidR="00E1197D" w:rsidRPr="00695853"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policies and formulae or guidelines v provide for the consideration of the impact of tuition, maintenance fees and other charges assessed by each institution in determining the fair and equitable distribution of public funds as required by this subdivision. The commission shall therefore review tuition, maintenance fees and other charges assessed by each institution…(3.4B)</w:t>
            </w:r>
          </w:p>
        </w:tc>
        <w:tc>
          <w:tcPr>
            <w:tcW w:w="2221" w:type="dxa"/>
          </w:tcPr>
          <w:p w:rsidR="00E1197D" w:rsidRPr="00695853" w:rsidRDefault="00E1197D" w:rsidP="000E4EA7">
            <w:pPr>
              <w:rPr>
                <w:rFonts w:ascii="Times New Roman" w:hAnsi="Times New Roman" w:cs="Times New Roman"/>
                <w:sz w:val="20"/>
                <w:szCs w:val="20"/>
              </w:rPr>
            </w:pPr>
            <w:r w:rsidRPr="00695853">
              <w:rPr>
                <w:rFonts w:ascii="Times New Roman" w:hAnsi="Times New Roman" w:cs="Times New Roman"/>
                <w:sz w:val="20"/>
                <w:szCs w:val="20"/>
              </w:rPr>
              <w:t>Ensure minimal redundancy in degree offerings (3.1C)</w:t>
            </w:r>
          </w:p>
        </w:tc>
        <w:tc>
          <w:tcPr>
            <w:tcW w:w="2195" w:type="dxa"/>
          </w:tcPr>
          <w:p w:rsidR="00E1197D" w:rsidRPr="00406232" w:rsidRDefault="00E1197D" w:rsidP="000E4EA7">
            <w:pPr>
              <w:rPr>
                <w:rFonts w:ascii="Times New Roman" w:hAnsi="Times New Roman" w:cs="Times New Roman"/>
                <w:sz w:val="20"/>
                <w:szCs w:val="20"/>
              </w:rPr>
            </w:pPr>
            <w:r w:rsidRPr="00406232">
              <w:rPr>
                <w:rFonts w:ascii="Times New Roman" w:hAnsi="Times New Roman" w:cs="Times New Roman"/>
                <w:sz w:val="20"/>
                <w:szCs w:val="20"/>
              </w:rPr>
              <w:t xml:space="preserve">Ensuring </w:t>
            </w:r>
            <w:r>
              <w:rPr>
                <w:rFonts w:ascii="Times New Roman" w:hAnsi="Times New Roman" w:cs="Times New Roman"/>
                <w:sz w:val="20"/>
                <w:szCs w:val="20"/>
              </w:rPr>
              <w:t>c</w:t>
            </w:r>
            <w:r w:rsidRPr="00406232">
              <w:rPr>
                <w:rFonts w:ascii="Times New Roman" w:hAnsi="Times New Roman" w:cs="Times New Roman"/>
                <w:sz w:val="20"/>
                <w:szCs w:val="20"/>
              </w:rPr>
              <w:t>ompetitive research (3.1C)</w:t>
            </w:r>
          </w:p>
        </w:tc>
        <w:tc>
          <w:tcPr>
            <w:tcW w:w="2195" w:type="dxa"/>
          </w:tcPr>
          <w:p w:rsidR="00E1197D" w:rsidRPr="00F27D21" w:rsidRDefault="00E1197D" w:rsidP="000E4EA7">
            <w:pPr>
              <w:rPr>
                <w:rFonts w:ascii="Times New Roman" w:hAnsi="Times New Roman" w:cs="Times New Roman"/>
                <w:sz w:val="20"/>
                <w:szCs w:val="20"/>
              </w:rPr>
            </w:pPr>
            <w:r w:rsidRPr="00F27D21">
              <w:rPr>
                <w:rFonts w:ascii="Times New Roman" w:hAnsi="Times New Roman" w:cs="Times New Roman"/>
                <w:sz w:val="20"/>
                <w:szCs w:val="20"/>
              </w:rPr>
              <w:t>Foster economic  growth (9.1)</w:t>
            </w:r>
          </w:p>
        </w:tc>
      </w:tr>
      <w:tr w:rsidR="00E1197D" w:rsidTr="000E4EA7">
        <w:tc>
          <w:tcPr>
            <w:tcW w:w="2245" w:type="dxa"/>
          </w:tcPr>
          <w:p w:rsidR="00E1197D" w:rsidRPr="00695853"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695853" w:rsidRDefault="00E1197D" w:rsidP="000E4EA7">
            <w:pPr>
              <w:rPr>
                <w:rFonts w:ascii="Times New Roman" w:hAnsi="Times New Roman" w:cs="Times New Roman"/>
                <w:sz w:val="20"/>
                <w:szCs w:val="20"/>
              </w:rPr>
            </w:pPr>
            <w:r w:rsidRPr="00695853">
              <w:rPr>
                <w:rFonts w:ascii="Times New Roman" w:hAnsi="Times New Roman" w:cs="Times New Roman"/>
                <w:sz w:val="20"/>
                <w:szCs w:val="20"/>
              </w:rPr>
              <w:t>Approve institutional mission statements for each HEI- degree offerings, type of students served (3.2)</w:t>
            </w:r>
          </w:p>
        </w:tc>
        <w:tc>
          <w:tcPr>
            <w:tcW w:w="2195" w:type="dxa"/>
          </w:tcPr>
          <w:p w:rsidR="00E1197D" w:rsidRPr="00265D5D" w:rsidRDefault="00E1197D" w:rsidP="000E4EA7">
            <w:pPr>
              <w:rPr>
                <w:rFonts w:ascii="Times New Roman" w:hAnsi="Times New Roman" w:cs="Times New Roman"/>
                <w:sz w:val="20"/>
                <w:szCs w:val="20"/>
              </w:rPr>
            </w:pPr>
            <w:r w:rsidRPr="00265D5D">
              <w:rPr>
                <w:rFonts w:ascii="Times New Roman" w:hAnsi="Times New Roman" w:cs="Times New Roman"/>
                <w:sz w:val="20"/>
                <w:szCs w:val="20"/>
              </w:rPr>
              <w:t>Master Plan will provide Higher Education Opportunities to all TN citizens (3.3)</w:t>
            </w:r>
          </w:p>
        </w:tc>
        <w:tc>
          <w:tcPr>
            <w:tcW w:w="2195" w:type="dxa"/>
          </w:tcPr>
          <w:p w:rsidR="00E1197D" w:rsidRPr="000B3C4A" w:rsidRDefault="00E1197D" w:rsidP="000E4EA7">
            <w:pPr>
              <w:rPr>
                <w:rFonts w:ascii="Times New Roman" w:hAnsi="Times New Roman" w:cs="Times New Roman"/>
                <w:sz w:val="20"/>
                <w:szCs w:val="20"/>
              </w:rPr>
            </w:pPr>
            <w:r w:rsidRPr="000B3C4A">
              <w:rPr>
                <w:rFonts w:ascii="Times New Roman" w:hAnsi="Times New Roman" w:cs="Times New Roman"/>
                <w:sz w:val="20"/>
                <w:szCs w:val="20"/>
              </w:rPr>
              <w:t>Accelerate the state’s economic and workforce development efforts in the field of energy sciences and engineering (9.2)</w:t>
            </w:r>
          </w:p>
        </w:tc>
      </w:tr>
      <w:tr w:rsidR="00E1197D" w:rsidTr="000E4EA7">
        <w:tc>
          <w:tcPr>
            <w:tcW w:w="2245" w:type="dxa"/>
          </w:tcPr>
          <w:p w:rsidR="00E1197D" w:rsidRPr="00695853"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265D5D" w:rsidRDefault="00E1197D" w:rsidP="000E4EA7">
            <w:pPr>
              <w:rPr>
                <w:rFonts w:ascii="Times New Roman" w:hAnsi="Times New Roman" w:cs="Times New Roman"/>
                <w:sz w:val="20"/>
                <w:szCs w:val="20"/>
              </w:rPr>
            </w:pPr>
            <w:r w:rsidRPr="00265D5D">
              <w:rPr>
                <w:rFonts w:ascii="Times New Roman" w:hAnsi="Times New Roman" w:cs="Times New Roman"/>
                <w:sz w:val="20"/>
                <w:szCs w:val="20"/>
              </w:rPr>
              <w:t>Nothing in policy can deter HEI from pursuing its mission (3.2)</w:t>
            </w:r>
          </w:p>
        </w:tc>
        <w:tc>
          <w:tcPr>
            <w:tcW w:w="2195" w:type="dxa"/>
          </w:tcPr>
          <w:p w:rsidR="00E1197D" w:rsidRPr="00265D5D" w:rsidRDefault="00E1197D" w:rsidP="000E4EA7">
            <w:pPr>
              <w:rPr>
                <w:rFonts w:ascii="Times New Roman" w:hAnsi="Times New Roman" w:cs="Times New Roman"/>
                <w:sz w:val="20"/>
                <w:szCs w:val="20"/>
              </w:rPr>
            </w:pPr>
            <w:r w:rsidRPr="00265D5D">
              <w:rPr>
                <w:rFonts w:ascii="Times New Roman" w:hAnsi="Times New Roman" w:cs="Times New Roman"/>
                <w:sz w:val="20"/>
                <w:szCs w:val="20"/>
              </w:rPr>
              <w:t xml:space="preserve">Outcomes-, </w:t>
            </w:r>
            <w:r>
              <w:rPr>
                <w:rFonts w:ascii="Times New Roman" w:hAnsi="Times New Roman" w:cs="Times New Roman"/>
                <w:sz w:val="20"/>
                <w:szCs w:val="20"/>
              </w:rPr>
              <w:t>timely progress to degree</w:t>
            </w:r>
            <w:r w:rsidRPr="00265D5D">
              <w:rPr>
                <w:rFonts w:ascii="Times New Roman" w:hAnsi="Times New Roman" w:cs="Times New Roman"/>
                <w:sz w:val="20"/>
                <w:szCs w:val="20"/>
              </w:rPr>
              <w:t>, research and student success (3.4)</w:t>
            </w:r>
          </w:p>
        </w:tc>
        <w:tc>
          <w:tcPr>
            <w:tcW w:w="2195" w:type="dxa"/>
          </w:tcPr>
          <w:p w:rsidR="00E1197D" w:rsidRPr="000B3C4A" w:rsidRDefault="00E1197D" w:rsidP="000E4EA7">
            <w:pPr>
              <w:rPr>
                <w:rFonts w:ascii="Times New Roman" w:hAnsi="Times New Roman" w:cs="Times New Roman"/>
                <w:sz w:val="20"/>
                <w:szCs w:val="20"/>
              </w:rPr>
            </w:pPr>
            <w:r w:rsidRPr="000B3C4A">
              <w:rPr>
                <w:rFonts w:ascii="Times New Roman" w:hAnsi="Times New Roman" w:cs="Times New Roman"/>
                <w:sz w:val="20"/>
                <w:szCs w:val="20"/>
              </w:rPr>
              <w:t>Support the development of clean energy technologies and jobs in Tennessee (9.3)</w:t>
            </w:r>
          </w:p>
        </w:tc>
      </w:tr>
      <w:tr w:rsidR="00E1197D" w:rsidTr="000E4EA7">
        <w:tc>
          <w:tcPr>
            <w:tcW w:w="2245" w:type="dxa"/>
          </w:tcPr>
          <w:p w:rsidR="00E1197D" w:rsidRPr="00695853" w:rsidRDefault="00E1197D" w:rsidP="000E4EA7">
            <w:pPr>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265D5D" w:rsidRDefault="00E1197D" w:rsidP="000E4EA7">
            <w:pPr>
              <w:rPr>
                <w:rFonts w:ascii="Times New Roman" w:hAnsi="Times New Roman" w:cs="Times New Roman"/>
                <w:sz w:val="20"/>
                <w:szCs w:val="20"/>
              </w:rPr>
            </w:pPr>
            <w:r w:rsidRPr="00265D5D">
              <w:rPr>
                <w:rFonts w:ascii="Times New Roman" w:hAnsi="Times New Roman" w:cs="Times New Roman"/>
                <w:sz w:val="20"/>
                <w:szCs w:val="20"/>
              </w:rPr>
              <w:t>Master Plan promotes high degree of regional cooperation between K12, HEI’s, businesses, civic and community leaders (3.3)</w:t>
            </w:r>
          </w:p>
        </w:tc>
        <w:tc>
          <w:tcPr>
            <w:tcW w:w="2195" w:type="dxa"/>
          </w:tcPr>
          <w:p w:rsidR="00E1197D" w:rsidRPr="00C35D41" w:rsidRDefault="00E1197D" w:rsidP="000E4EA7">
            <w:pPr>
              <w:autoSpaceDE w:val="0"/>
              <w:autoSpaceDN w:val="0"/>
              <w:adjustRightInd w:val="0"/>
              <w:rPr>
                <w:rFonts w:ascii="Times New Roman" w:hAnsi="Times New Roman" w:cs="Times New Roman"/>
                <w:sz w:val="20"/>
                <w:szCs w:val="20"/>
              </w:rPr>
            </w:pPr>
            <w:r w:rsidRPr="00C35D41">
              <w:rPr>
                <w:rFonts w:ascii="Times New Roman" w:hAnsi="Times New Roman" w:cs="Times New Roman"/>
                <w:sz w:val="20"/>
                <w:szCs w:val="20"/>
              </w:rPr>
              <w:t>Standardized and centralized community college system</w:t>
            </w:r>
            <w:r>
              <w:rPr>
                <w:rFonts w:ascii="Times New Roman" w:hAnsi="Times New Roman" w:cs="Times New Roman"/>
                <w:sz w:val="20"/>
                <w:szCs w:val="20"/>
              </w:rPr>
              <w:t xml:space="preserve"> will aimed to produce</w:t>
            </w:r>
            <w:r w:rsidRPr="00C35D41">
              <w:rPr>
                <w:rFonts w:ascii="Times New Roman" w:hAnsi="Times New Roman" w:cs="Times New Roman"/>
                <w:sz w:val="20"/>
                <w:szCs w:val="20"/>
              </w:rPr>
              <w:t xml:space="preserve"> more rapid and signif</w:t>
            </w:r>
            <w:r>
              <w:rPr>
                <w:rFonts w:ascii="Times New Roman" w:hAnsi="Times New Roman" w:cs="Times New Roman"/>
                <w:sz w:val="20"/>
                <w:szCs w:val="20"/>
              </w:rPr>
              <w:t xml:space="preserve">icantly higher rates of program </w:t>
            </w:r>
            <w:r w:rsidRPr="00C35D41">
              <w:rPr>
                <w:rFonts w:ascii="Times New Roman" w:hAnsi="Times New Roman" w:cs="Times New Roman"/>
                <w:sz w:val="20"/>
                <w:szCs w:val="20"/>
              </w:rPr>
              <w:t xml:space="preserve">completion through structured degree </w:t>
            </w:r>
            <w:r>
              <w:rPr>
                <w:rFonts w:ascii="Times New Roman" w:hAnsi="Times New Roman" w:cs="Times New Roman"/>
                <w:sz w:val="20"/>
                <w:szCs w:val="20"/>
              </w:rPr>
              <w:t>programs that incorporate fixed course offerings…</w:t>
            </w:r>
          </w:p>
          <w:p w:rsidR="00E1197D" w:rsidRDefault="00E1197D" w:rsidP="000E4EA7">
            <w:r w:rsidRPr="00C35D41">
              <w:rPr>
                <w:rFonts w:ascii="Times New Roman" w:hAnsi="Times New Roman" w:cs="Times New Roman"/>
                <w:sz w:val="20"/>
                <w:szCs w:val="20"/>
              </w:rPr>
              <w:t>on a pre-determined schedule. (8.c4)</w:t>
            </w:r>
          </w:p>
        </w:tc>
        <w:tc>
          <w:tcPr>
            <w:tcW w:w="2195" w:type="dxa"/>
          </w:tcPr>
          <w:p w:rsidR="00E1197D" w:rsidRPr="000B3C4A" w:rsidRDefault="00E1197D" w:rsidP="000E4EA7">
            <w:pPr>
              <w:rPr>
                <w:rFonts w:ascii="Times New Roman" w:hAnsi="Times New Roman" w:cs="Times New Roman"/>
                <w:sz w:val="20"/>
                <w:szCs w:val="20"/>
              </w:rPr>
            </w:pPr>
            <w:r w:rsidRPr="000B3C4A">
              <w:rPr>
                <w:rFonts w:ascii="Times New Roman" w:hAnsi="Times New Roman" w:cs="Times New Roman"/>
                <w:sz w:val="20"/>
                <w:szCs w:val="20"/>
              </w:rPr>
              <w:t>Strengthen existing partnership between University of Tennessee and Oak Ridge National Laboratory</w:t>
            </w:r>
            <w:r>
              <w:rPr>
                <w:rFonts w:ascii="Times New Roman" w:hAnsi="Times New Roman" w:cs="Times New Roman"/>
                <w:sz w:val="20"/>
                <w:szCs w:val="20"/>
              </w:rPr>
              <w:t xml:space="preserve"> (9.4)</w:t>
            </w:r>
          </w:p>
        </w:tc>
      </w:tr>
      <w:tr w:rsidR="00E1197D" w:rsidTr="000E4EA7">
        <w:tc>
          <w:tcPr>
            <w:tcW w:w="2245" w:type="dxa"/>
          </w:tcPr>
          <w:p w:rsidR="00E1197D" w:rsidRPr="008350C6"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265D5D" w:rsidRDefault="00E1197D" w:rsidP="000E4EA7">
            <w:pPr>
              <w:rPr>
                <w:rFonts w:ascii="Times New Roman" w:hAnsi="Times New Roman" w:cs="Times New Roman"/>
                <w:sz w:val="20"/>
                <w:szCs w:val="20"/>
              </w:rPr>
            </w:pPr>
            <w:r w:rsidRPr="00265D5D">
              <w:rPr>
                <w:rFonts w:ascii="Times New Roman" w:hAnsi="Times New Roman" w:cs="Times New Roman"/>
                <w:sz w:val="20"/>
                <w:szCs w:val="20"/>
              </w:rPr>
              <w:t xml:space="preserve">Master Plan emphasizes outcomes across range of variables weighted to </w:t>
            </w:r>
            <w:r w:rsidRPr="00265D5D">
              <w:rPr>
                <w:rFonts w:ascii="Times New Roman" w:hAnsi="Times New Roman" w:cs="Times New Roman"/>
                <w:sz w:val="20"/>
                <w:szCs w:val="20"/>
              </w:rPr>
              <w:lastRenderedPageBreak/>
              <w:t>reinforce each HEI mission and provide incentives for productivity improvement consistent with the Master Plan (3.4)</w:t>
            </w:r>
          </w:p>
        </w:tc>
        <w:tc>
          <w:tcPr>
            <w:tcW w:w="2195" w:type="dxa"/>
          </w:tcPr>
          <w:p w:rsidR="00E1197D" w:rsidRPr="00F27D21" w:rsidRDefault="00E1197D" w:rsidP="000E4EA7">
            <w:pPr>
              <w:rPr>
                <w:rFonts w:ascii="Times New Roman" w:hAnsi="Times New Roman" w:cs="Times New Roman"/>
                <w:sz w:val="20"/>
                <w:szCs w:val="20"/>
              </w:rPr>
            </w:pPr>
            <w:r w:rsidRPr="00F27D21">
              <w:rPr>
                <w:rFonts w:ascii="Times New Roman" w:hAnsi="Times New Roman" w:cs="Times New Roman"/>
                <w:sz w:val="20"/>
                <w:szCs w:val="20"/>
              </w:rPr>
              <w:lastRenderedPageBreak/>
              <w:t xml:space="preserve">Increasing number of STEM degrees </w:t>
            </w:r>
            <w:r>
              <w:rPr>
                <w:rFonts w:ascii="Times New Roman" w:hAnsi="Times New Roman" w:cs="Times New Roman"/>
                <w:sz w:val="20"/>
                <w:szCs w:val="20"/>
              </w:rPr>
              <w:t xml:space="preserve">to doctoral schools </w:t>
            </w:r>
            <w:r>
              <w:rPr>
                <w:rFonts w:ascii="Times New Roman" w:hAnsi="Times New Roman" w:cs="Times New Roman"/>
                <w:sz w:val="20"/>
                <w:szCs w:val="20"/>
              </w:rPr>
              <w:lastRenderedPageBreak/>
              <w:t xml:space="preserve">University of Tennessee and other institutions </w:t>
            </w:r>
            <w:r w:rsidRPr="00F27D21">
              <w:rPr>
                <w:rFonts w:ascii="Times New Roman" w:hAnsi="Times New Roman" w:cs="Times New Roman"/>
                <w:sz w:val="20"/>
                <w:szCs w:val="20"/>
              </w:rPr>
              <w:t>(to foster economic growth) (9.1)</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r w:rsidRPr="00490B62">
              <w:rPr>
                <w:rFonts w:ascii="Times New Roman" w:hAnsi="Times New Roman" w:cs="Times New Roman"/>
                <w:sz w:val="20"/>
                <w:szCs w:val="20"/>
              </w:rPr>
              <w:lastRenderedPageBreak/>
              <w:t xml:space="preserve">Promote interdisciplinary program of energy </w:t>
            </w:r>
            <w:r w:rsidRPr="00490B62">
              <w:rPr>
                <w:rFonts w:ascii="Times New Roman" w:hAnsi="Times New Roman" w:cs="Times New Roman"/>
                <w:sz w:val="20"/>
                <w:szCs w:val="20"/>
              </w:rPr>
              <w:lastRenderedPageBreak/>
              <w:t>science and engineering at the University of Tennessee ,  Knoxville that shall provide students an</w:t>
            </w:r>
          </w:p>
          <w:p w:rsidR="00E1197D" w:rsidRDefault="00E1197D" w:rsidP="000E4EA7">
            <w:r w:rsidRPr="00490B62">
              <w:rPr>
                <w:rFonts w:ascii="Times New Roman" w:hAnsi="Times New Roman" w:cs="Times New Roman"/>
                <w:sz w:val="20"/>
                <w:szCs w:val="20"/>
              </w:rPr>
              <w:t>opportunity to undertake transformative research activities (9.6)</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lastRenderedPageBreak/>
              <w:t>x</w:t>
            </w:r>
          </w:p>
        </w:tc>
        <w:tc>
          <w:tcPr>
            <w:tcW w:w="2221" w:type="dxa"/>
          </w:tcPr>
          <w:p w:rsidR="00E1197D" w:rsidRPr="00DD5D13" w:rsidRDefault="00E1197D" w:rsidP="000E4EA7">
            <w:pPr>
              <w:rPr>
                <w:rFonts w:ascii="Times New Roman" w:hAnsi="Times New Roman" w:cs="Times New Roman"/>
                <w:sz w:val="20"/>
                <w:szCs w:val="20"/>
              </w:rPr>
            </w:pPr>
            <w:r w:rsidRPr="00DD5D13">
              <w:rPr>
                <w:rFonts w:ascii="Times New Roman" w:hAnsi="Times New Roman" w:cs="Times New Roman"/>
                <w:sz w:val="20"/>
                <w:szCs w:val="20"/>
              </w:rPr>
              <w:t xml:space="preserve">commission shall develop a university tract program within the University of Tennessee and Tennessee </w:t>
            </w:r>
            <w:proofErr w:type="spellStart"/>
            <w:r>
              <w:rPr>
                <w:rFonts w:ascii="Times New Roman" w:hAnsi="Times New Roman" w:cs="Times New Roman"/>
                <w:sz w:val="20"/>
                <w:szCs w:val="20"/>
              </w:rPr>
              <w:t>BoR</w:t>
            </w:r>
            <w:proofErr w:type="spellEnd"/>
            <w:r w:rsidRPr="00DD5D13">
              <w:rPr>
                <w:rFonts w:ascii="Times New Roman" w:hAnsi="Times New Roman" w:cs="Times New Roman"/>
                <w:sz w:val="20"/>
                <w:szCs w:val="20"/>
              </w:rPr>
              <w:t xml:space="preserve"> of 60 hours </w:t>
            </w:r>
            <w:r>
              <w:rPr>
                <w:rFonts w:ascii="Times New Roman" w:hAnsi="Times New Roman" w:cs="Times New Roman"/>
                <w:sz w:val="20"/>
                <w:szCs w:val="20"/>
              </w:rPr>
              <w:t>for  transfer</w:t>
            </w:r>
            <w:r w:rsidRPr="00DD5D13">
              <w:rPr>
                <w:rFonts w:ascii="Times New Roman" w:hAnsi="Times New Roman" w:cs="Times New Roman"/>
                <w:sz w:val="20"/>
                <w:szCs w:val="20"/>
              </w:rPr>
              <w:t xml:space="preserve"> and applied toward BA attainment at public institutions </w:t>
            </w:r>
            <w:r>
              <w:rPr>
                <w:rFonts w:ascii="Times New Roman" w:hAnsi="Times New Roman" w:cs="Times New Roman"/>
                <w:sz w:val="20"/>
                <w:szCs w:val="20"/>
              </w:rPr>
              <w:t>(</w:t>
            </w:r>
            <w:r w:rsidRPr="00DD5D13">
              <w:rPr>
                <w:rFonts w:ascii="Times New Roman" w:hAnsi="Times New Roman" w:cs="Times New Roman"/>
                <w:sz w:val="20"/>
                <w:szCs w:val="20"/>
              </w:rPr>
              <w:t>4.e1)</w:t>
            </w:r>
          </w:p>
        </w:tc>
        <w:tc>
          <w:tcPr>
            <w:tcW w:w="2195" w:type="dxa"/>
          </w:tcPr>
          <w:p w:rsidR="00E1197D" w:rsidRPr="00F27D21" w:rsidRDefault="00E1197D" w:rsidP="000E4EA7">
            <w:pPr>
              <w:rPr>
                <w:rFonts w:ascii="Times New Roman" w:hAnsi="Times New Roman" w:cs="Times New Roman"/>
                <w:sz w:val="20"/>
                <w:szCs w:val="20"/>
              </w:rPr>
            </w:pPr>
            <w:r>
              <w:rPr>
                <w:rFonts w:ascii="Times New Roman" w:hAnsi="Times New Roman" w:cs="Times New Roman"/>
                <w:sz w:val="20"/>
                <w:szCs w:val="20"/>
              </w:rPr>
              <w:t>I</w:t>
            </w:r>
            <w:r w:rsidRPr="000B3C4A">
              <w:rPr>
                <w:rFonts w:ascii="Times New Roman" w:hAnsi="Times New Roman" w:cs="Times New Roman"/>
                <w:sz w:val="20"/>
                <w:szCs w:val="20"/>
              </w:rPr>
              <w:t>ncrease prestige of U</w:t>
            </w:r>
            <w:r>
              <w:rPr>
                <w:rFonts w:ascii="Times New Roman" w:hAnsi="Times New Roman" w:cs="Times New Roman"/>
                <w:sz w:val="20"/>
                <w:szCs w:val="20"/>
              </w:rPr>
              <w:t xml:space="preserve">niversity of </w:t>
            </w:r>
            <w:r w:rsidRPr="000B3C4A">
              <w:rPr>
                <w:rFonts w:ascii="Times New Roman" w:hAnsi="Times New Roman" w:cs="Times New Roman"/>
                <w:sz w:val="20"/>
                <w:szCs w:val="20"/>
              </w:rPr>
              <w:t>T</w:t>
            </w:r>
            <w:r>
              <w:rPr>
                <w:rFonts w:ascii="Times New Roman" w:hAnsi="Times New Roman" w:cs="Times New Roman"/>
                <w:sz w:val="20"/>
                <w:szCs w:val="20"/>
              </w:rPr>
              <w:t>ennessee</w:t>
            </w:r>
            <w:r w:rsidRPr="000B3C4A">
              <w:rPr>
                <w:rFonts w:ascii="Times New Roman" w:hAnsi="Times New Roman" w:cs="Times New Roman"/>
                <w:sz w:val="20"/>
                <w:szCs w:val="20"/>
              </w:rPr>
              <w:t xml:space="preserve"> as top ti</w:t>
            </w:r>
            <w:r>
              <w:rPr>
                <w:rFonts w:ascii="Times New Roman" w:hAnsi="Times New Roman" w:cs="Times New Roman"/>
                <w:sz w:val="20"/>
                <w:szCs w:val="20"/>
              </w:rPr>
              <w:t>er institution (9.5)</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r w:rsidRPr="00490B62">
              <w:rPr>
                <w:rFonts w:ascii="Times New Roman" w:hAnsi="Times New Roman" w:cs="Times New Roman"/>
                <w:sz w:val="20"/>
                <w:szCs w:val="20"/>
              </w:rPr>
              <w:t>Promote research in science, technology,</w:t>
            </w:r>
          </w:p>
          <w:p w:rsidR="00E1197D" w:rsidRPr="00490B62" w:rsidRDefault="00E1197D" w:rsidP="000E4EA7">
            <w:pPr>
              <w:autoSpaceDE w:val="0"/>
              <w:autoSpaceDN w:val="0"/>
              <w:adjustRightInd w:val="0"/>
              <w:rPr>
                <w:rFonts w:ascii="Times New Roman" w:hAnsi="Times New Roman" w:cs="Times New Roman"/>
                <w:sz w:val="20"/>
                <w:szCs w:val="20"/>
              </w:rPr>
            </w:pPr>
            <w:r w:rsidRPr="00490B62">
              <w:rPr>
                <w:rFonts w:ascii="Times New Roman" w:hAnsi="Times New Roman" w:cs="Times New Roman"/>
                <w:sz w:val="20"/>
                <w:szCs w:val="20"/>
              </w:rPr>
              <w:t>engineering and mathematics that encourages entrepreneurial</w:t>
            </w:r>
          </w:p>
          <w:p w:rsidR="00E1197D" w:rsidRDefault="00E1197D" w:rsidP="000E4EA7">
            <w:r w:rsidRPr="00490B62">
              <w:rPr>
                <w:rFonts w:ascii="Times New Roman" w:hAnsi="Times New Roman" w:cs="Times New Roman"/>
                <w:sz w:val="20"/>
                <w:szCs w:val="20"/>
              </w:rPr>
              <w:t>opportunities in Tennessee (9.8)</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DD5D13" w:rsidRDefault="00E1197D" w:rsidP="000E4EA7">
            <w:pPr>
              <w:rPr>
                <w:rFonts w:ascii="Times New Roman" w:hAnsi="Times New Roman" w:cs="Times New Roman"/>
                <w:sz w:val="20"/>
                <w:szCs w:val="20"/>
              </w:rPr>
            </w:pPr>
            <w:r>
              <w:rPr>
                <w:rFonts w:ascii="Times New Roman" w:hAnsi="Times New Roman" w:cs="Times New Roman"/>
                <w:sz w:val="20"/>
                <w:szCs w:val="20"/>
              </w:rPr>
              <w:t>Community College students must be supplied with sufficient information about programs and courses so they know which courses will lead to degree and which ones will not (4.2ab)</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r w:rsidRPr="00490B62">
              <w:rPr>
                <w:rFonts w:ascii="Times New Roman" w:hAnsi="Times New Roman" w:cs="Times New Roman"/>
                <w:sz w:val="20"/>
                <w:szCs w:val="20"/>
              </w:rPr>
              <w:t>Promote collaborative research and</w:t>
            </w:r>
          </w:p>
          <w:p w:rsidR="00E1197D" w:rsidRPr="00490B62" w:rsidRDefault="00E1197D" w:rsidP="000E4EA7">
            <w:pPr>
              <w:autoSpaceDE w:val="0"/>
              <w:autoSpaceDN w:val="0"/>
              <w:adjustRightInd w:val="0"/>
              <w:rPr>
                <w:rFonts w:ascii="Times New Roman" w:hAnsi="Times New Roman" w:cs="Times New Roman"/>
                <w:sz w:val="20"/>
                <w:szCs w:val="20"/>
              </w:rPr>
            </w:pPr>
            <w:r w:rsidRPr="00490B62">
              <w:rPr>
                <w:rFonts w:ascii="Times New Roman" w:hAnsi="Times New Roman" w:cs="Times New Roman"/>
                <w:sz w:val="20"/>
                <w:szCs w:val="20"/>
              </w:rPr>
              <w:t>development by interdisciplinary teams of University of Tennessee,</w:t>
            </w:r>
          </w:p>
          <w:p w:rsidR="00E1197D" w:rsidRPr="00490B62" w:rsidRDefault="00E1197D" w:rsidP="000E4EA7">
            <w:pPr>
              <w:autoSpaceDE w:val="0"/>
              <w:autoSpaceDN w:val="0"/>
              <w:adjustRightInd w:val="0"/>
              <w:rPr>
                <w:rFonts w:ascii="Times New Roman" w:hAnsi="Times New Roman" w:cs="Times New Roman"/>
                <w:sz w:val="20"/>
                <w:szCs w:val="20"/>
              </w:rPr>
            </w:pPr>
            <w:r w:rsidRPr="00490B62">
              <w:rPr>
                <w:rFonts w:ascii="Times New Roman" w:hAnsi="Times New Roman" w:cs="Times New Roman"/>
                <w:sz w:val="20"/>
                <w:szCs w:val="20"/>
              </w:rPr>
              <w:t>Knoxville, and other state university faculties and the Oak Ridge National</w:t>
            </w:r>
          </w:p>
          <w:p w:rsidR="00E1197D" w:rsidRPr="00F27D21" w:rsidRDefault="00E1197D" w:rsidP="000E4EA7">
            <w:pPr>
              <w:rPr>
                <w:rFonts w:ascii="Times New Roman" w:hAnsi="Times New Roman" w:cs="Times New Roman"/>
                <w:sz w:val="20"/>
                <w:szCs w:val="20"/>
              </w:rPr>
            </w:pPr>
            <w:r w:rsidRPr="00490B62">
              <w:rPr>
                <w:rFonts w:ascii="Times New Roman" w:hAnsi="Times New Roman" w:cs="Times New Roman"/>
                <w:sz w:val="20"/>
                <w:szCs w:val="20"/>
              </w:rPr>
              <w:t>Laboratory in energy-related fields (9.7</w:t>
            </w:r>
            <w:r>
              <w:rPr>
                <w:rFonts w:ascii="Times New Roman" w:hAnsi="Times New Roman" w:cs="Times New Roman"/>
                <w:sz w:val="20"/>
                <w:szCs w:val="20"/>
              </w:rPr>
              <w:t>, 9.9</w:t>
            </w:r>
            <w:r w:rsidRPr="00490B62">
              <w:rPr>
                <w:rFonts w:ascii="Times New Roman" w:hAnsi="Times New Roman" w:cs="Times New Roman"/>
                <w:sz w:val="20"/>
                <w:szCs w:val="20"/>
              </w:rPr>
              <w:t>)</w:t>
            </w:r>
          </w:p>
        </w:tc>
        <w:tc>
          <w:tcPr>
            <w:tcW w:w="2195" w:type="dxa"/>
          </w:tcPr>
          <w:p w:rsidR="00E1197D" w:rsidRPr="00467A2D" w:rsidRDefault="00E1197D" w:rsidP="000E4EA7">
            <w:pPr>
              <w:autoSpaceDE w:val="0"/>
              <w:autoSpaceDN w:val="0"/>
              <w:adjustRightInd w:val="0"/>
              <w:rPr>
                <w:rFonts w:ascii="Times New Roman" w:hAnsi="Times New Roman" w:cs="Times New Roman"/>
                <w:sz w:val="20"/>
                <w:szCs w:val="20"/>
              </w:rPr>
            </w:pPr>
            <w:r w:rsidRPr="00A75449">
              <w:rPr>
                <w:rFonts w:ascii="Times New Roman" w:hAnsi="Times New Roman" w:cs="Times New Roman"/>
                <w:sz w:val="20"/>
                <w:szCs w:val="20"/>
              </w:rPr>
              <w:t>University of Tennessee is allowed to establish an academic unit at ORNL, with appointment and oversight of graduate students, the appointment of ORNL staff as faculty, and the development of interdisciplinary curricula between the two institutions (9.9ab)</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DD5D13" w:rsidRDefault="00E1197D" w:rsidP="000E4EA7">
            <w:pPr>
              <w:rPr>
                <w:rFonts w:ascii="Times New Roman" w:hAnsi="Times New Roman" w:cs="Times New Roman"/>
                <w:sz w:val="20"/>
                <w:szCs w:val="20"/>
              </w:rPr>
            </w:pPr>
            <w:r>
              <w:rPr>
                <w:rFonts w:ascii="Times New Roman" w:hAnsi="Times New Roman" w:cs="Times New Roman"/>
                <w:sz w:val="20"/>
                <w:szCs w:val="20"/>
              </w:rPr>
              <w:t>Any person who satisfies the admission requirements for any two year school under jurisdiction of board of regents and any four year school under the board regents may be admitted to both  (6g)</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r w:rsidRPr="0056445F">
              <w:rPr>
                <w:rFonts w:ascii="Times New Roman" w:hAnsi="Times New Roman" w:cs="Times New Roman"/>
                <w:sz w:val="20"/>
                <w:szCs w:val="20"/>
              </w:rPr>
              <w:t>Ability to establish partnerships with private entities</w:t>
            </w:r>
            <w:r>
              <w:rPr>
                <w:rFonts w:ascii="Times New Roman" w:hAnsi="Times New Roman" w:cs="Times New Roman"/>
                <w:sz w:val="20"/>
                <w:szCs w:val="20"/>
              </w:rPr>
              <w:t xml:space="preserve"> (11.a)</w:t>
            </w:r>
          </w:p>
        </w:tc>
        <w:tc>
          <w:tcPr>
            <w:tcW w:w="2195" w:type="dxa"/>
          </w:tcPr>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St. Jude’s Hospital, Tennessee Health Services and University of Tennessee now a Memphis Research Consortium (MRC). The MRC is a collaborative research venture with other leading business and research entities to promote economic development and job creation, promote opportunities for RD in public health, medical devices,  medical and healthcare, bio-based products and</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chemical manufacturing, logistics and supply chain, computational and</w:t>
            </w:r>
          </w:p>
          <w:p w:rsidR="00E1197D" w:rsidRPr="00467A2D" w:rsidRDefault="00E1197D" w:rsidP="000E4EA7">
            <w:pPr>
              <w:rPr>
                <w:rFonts w:ascii="Times New Roman" w:hAnsi="Times New Roman" w:cs="Times New Roman"/>
                <w:sz w:val="20"/>
                <w:szCs w:val="20"/>
              </w:rPr>
            </w:pPr>
            <w:r w:rsidRPr="00467A2D">
              <w:rPr>
                <w:rFonts w:ascii="Times New Roman" w:hAnsi="Times New Roman" w:cs="Times New Roman"/>
                <w:sz w:val="20"/>
                <w:szCs w:val="20"/>
              </w:rPr>
              <w:t xml:space="preserve">computer sciences, and learning technologies and related fields.  </w:t>
            </w:r>
            <w:r w:rsidRPr="00467A2D">
              <w:rPr>
                <w:rFonts w:ascii="Times New Roman" w:hAnsi="Times New Roman" w:cs="Times New Roman"/>
                <w:sz w:val="20"/>
                <w:szCs w:val="20"/>
              </w:rPr>
              <w:lastRenderedPageBreak/>
              <w:t>(11.ab)</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lastRenderedPageBreak/>
              <w:t>x</w:t>
            </w:r>
          </w:p>
        </w:tc>
        <w:tc>
          <w:tcPr>
            <w:tcW w:w="2221" w:type="dxa"/>
          </w:tcPr>
          <w:p w:rsidR="00E1197D" w:rsidRPr="00C35D41" w:rsidRDefault="00E1197D" w:rsidP="000E4EA7">
            <w:pPr>
              <w:rPr>
                <w:rFonts w:ascii="Times New Roman" w:hAnsi="Times New Roman" w:cs="Times New Roman"/>
                <w:sz w:val="20"/>
                <w:szCs w:val="20"/>
              </w:rPr>
            </w:pPr>
            <w:r w:rsidRPr="00C35D41">
              <w:rPr>
                <w:rFonts w:ascii="Times New Roman" w:hAnsi="Times New Roman" w:cs="Times New Roman"/>
                <w:sz w:val="20"/>
                <w:szCs w:val="20"/>
              </w:rPr>
              <w:t>All 13 Tennessee Community Colleges, which operate independently, will now be unified under a standardized system, offering block scheduling (8.c1-6)</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Pr="00467A2D"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Promotion of</w:t>
            </w:r>
            <w:r w:rsidRPr="00467A2D">
              <w:rPr>
                <w:rFonts w:ascii="Times New Roman" w:hAnsi="Times New Roman" w:cs="Times New Roman"/>
                <w:sz w:val="20"/>
                <w:szCs w:val="20"/>
              </w:rPr>
              <w:t xml:space="preserve"> participation by other institutions of higher education,</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hospitals and other health services providers, organizations engaged in</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the promotion of public health, medical devices, medical and healthcare,</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bio-based products and chemical manufacturing, logistics and supply</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chain, computational and computer sciences, learning technologies,</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bioscience, and bioengineering and related business and research, as</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well as industrial and commercial enterprises engaged in business</w:t>
            </w:r>
          </w:p>
          <w:p w:rsidR="00E1197D" w:rsidRPr="00467A2D" w:rsidRDefault="00E1197D" w:rsidP="000E4EA7">
            <w:pPr>
              <w:rPr>
                <w:rFonts w:ascii="Times New Roman" w:hAnsi="Times New Roman" w:cs="Times New Roman"/>
                <w:sz w:val="20"/>
                <w:szCs w:val="20"/>
              </w:rPr>
            </w:pPr>
            <w:r w:rsidRPr="00467A2D">
              <w:rPr>
                <w:rFonts w:ascii="Times New Roman" w:hAnsi="Times New Roman" w:cs="Times New Roman"/>
                <w:sz w:val="20"/>
                <w:szCs w:val="20"/>
              </w:rPr>
              <w:t>ac</w:t>
            </w:r>
            <w:r>
              <w:rPr>
                <w:rFonts w:ascii="Times New Roman" w:hAnsi="Times New Roman" w:cs="Times New Roman"/>
                <w:sz w:val="20"/>
                <w:szCs w:val="20"/>
              </w:rPr>
              <w:t>tivities related to these areas (11.ab)</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An audit of the Tennessee Higher Education Commission, the</w:t>
            </w:r>
          </w:p>
          <w:p w:rsidR="00E1197D" w:rsidRPr="00467A2D" w:rsidRDefault="00E1197D" w:rsidP="000E4EA7">
            <w:pPr>
              <w:autoSpaceDE w:val="0"/>
              <w:autoSpaceDN w:val="0"/>
              <w:adjustRightInd w:val="0"/>
              <w:rPr>
                <w:rFonts w:ascii="Times New Roman" w:hAnsi="Times New Roman" w:cs="Times New Roman"/>
                <w:sz w:val="20"/>
                <w:szCs w:val="20"/>
              </w:rPr>
            </w:pPr>
            <w:r w:rsidRPr="00467A2D">
              <w:rPr>
                <w:rFonts w:ascii="Times New Roman" w:hAnsi="Times New Roman" w:cs="Times New Roman"/>
                <w:sz w:val="20"/>
                <w:szCs w:val="20"/>
              </w:rPr>
              <w:t>University of Tennessee board of trustees and the board of regents may be conducted</w:t>
            </w:r>
          </w:p>
          <w:p w:rsidR="00E1197D" w:rsidRPr="00C35D41" w:rsidRDefault="00E1197D" w:rsidP="000E4EA7">
            <w:pPr>
              <w:rPr>
                <w:rFonts w:ascii="Times New Roman" w:hAnsi="Times New Roman" w:cs="Times New Roman"/>
                <w:sz w:val="20"/>
                <w:szCs w:val="20"/>
              </w:rPr>
            </w:pPr>
            <w:r w:rsidRPr="00467A2D">
              <w:rPr>
                <w:rFonts w:ascii="Times New Roman" w:hAnsi="Times New Roman" w:cs="Times New Roman"/>
                <w:sz w:val="20"/>
                <w:szCs w:val="20"/>
              </w:rPr>
              <w:t xml:space="preserve">by </w:t>
            </w:r>
            <w:r>
              <w:rPr>
                <w:rFonts w:ascii="Times New Roman" w:hAnsi="Times New Roman" w:cs="Times New Roman"/>
                <w:sz w:val="20"/>
                <w:szCs w:val="20"/>
              </w:rPr>
              <w:t>the comptroller of the treasury (13)</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r>
              <w:rPr>
                <w:rFonts w:ascii="Times New Roman" w:hAnsi="Times New Roman" w:cs="Times New Roman"/>
                <w:sz w:val="20"/>
                <w:szCs w:val="20"/>
              </w:rPr>
              <w:t>x</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265D5D"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commission must submit </w:t>
            </w:r>
            <w:r w:rsidRPr="00265D5D">
              <w:rPr>
                <w:rFonts w:ascii="Times New Roman" w:hAnsi="Times New Roman" w:cs="Times New Roman"/>
                <w:sz w:val="20"/>
                <w:szCs w:val="20"/>
              </w:rPr>
              <w:t>higher education funding formula to the office of legislative</w:t>
            </w:r>
          </w:p>
          <w:p w:rsidR="00E1197D" w:rsidRPr="00C35D41" w:rsidRDefault="00E1197D" w:rsidP="000E4EA7">
            <w:pPr>
              <w:rPr>
                <w:rFonts w:ascii="Times New Roman" w:hAnsi="Times New Roman" w:cs="Times New Roman"/>
                <w:sz w:val="20"/>
                <w:szCs w:val="20"/>
              </w:rPr>
            </w:pPr>
            <w:r w:rsidRPr="00265D5D">
              <w:rPr>
                <w:rFonts w:ascii="Times New Roman" w:hAnsi="Times New Roman" w:cs="Times New Roman"/>
                <w:sz w:val="20"/>
                <w:szCs w:val="20"/>
              </w:rPr>
              <w:t>budget analysis and the comptrolle</w:t>
            </w:r>
            <w:r>
              <w:rPr>
                <w:rFonts w:ascii="Times New Roman" w:hAnsi="Times New Roman" w:cs="Times New Roman"/>
                <w:sz w:val="20"/>
                <w:szCs w:val="20"/>
              </w:rPr>
              <w:t>r no later than December  1</w:t>
            </w:r>
            <w:r w:rsidRPr="00265D5D">
              <w:rPr>
                <w:rFonts w:ascii="Times New Roman" w:hAnsi="Times New Roman" w:cs="Times New Roman"/>
                <w:sz w:val="20"/>
                <w:szCs w:val="20"/>
              </w:rPr>
              <w:t xml:space="preserve"> (3.4A)</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r>
              <w:t>x</w:t>
            </w:r>
          </w:p>
        </w:tc>
      </w:tr>
      <w:tr w:rsidR="00E1197D" w:rsidTr="000E4EA7">
        <w:tc>
          <w:tcPr>
            <w:tcW w:w="2245" w:type="dxa"/>
          </w:tcPr>
          <w:p w:rsidR="00E1197D" w:rsidRPr="008350C6" w:rsidRDefault="00E1197D" w:rsidP="000E4EA7">
            <w:pPr>
              <w:rPr>
                <w:rFonts w:ascii="Times New Roman" w:hAnsi="Times New Roman" w:cs="Times New Roman"/>
                <w:sz w:val="20"/>
                <w:szCs w:val="20"/>
              </w:rPr>
            </w:pPr>
            <w:r>
              <w:rPr>
                <w:rFonts w:ascii="Times New Roman" w:hAnsi="Times New Roman" w:cs="Times New Roman"/>
                <w:sz w:val="20"/>
                <w:szCs w:val="20"/>
              </w:rPr>
              <w:t>x</w:t>
            </w:r>
          </w:p>
        </w:tc>
        <w:tc>
          <w:tcPr>
            <w:tcW w:w="2221" w:type="dxa"/>
          </w:tcPr>
          <w:p w:rsidR="00E1197D" w:rsidRPr="008D155F" w:rsidRDefault="00E1197D" w:rsidP="000E4EA7">
            <w:pPr>
              <w:autoSpaceDE w:val="0"/>
              <w:autoSpaceDN w:val="0"/>
              <w:adjustRightInd w:val="0"/>
              <w:rPr>
                <w:rFonts w:ascii="Times New Roman" w:hAnsi="Times New Roman" w:cs="Times New Roman"/>
                <w:sz w:val="20"/>
                <w:szCs w:val="20"/>
              </w:rPr>
            </w:pPr>
            <w:r w:rsidRPr="008D155F">
              <w:rPr>
                <w:rFonts w:ascii="Times New Roman" w:hAnsi="Times New Roman" w:cs="Times New Roman"/>
                <w:sz w:val="20"/>
                <w:szCs w:val="20"/>
              </w:rPr>
              <w:t xml:space="preserve"> The office of legislative budget analysis and</w:t>
            </w:r>
          </w:p>
          <w:p w:rsidR="00E1197D" w:rsidRPr="00C35D41" w:rsidRDefault="00E1197D" w:rsidP="000E4EA7">
            <w:pPr>
              <w:rPr>
                <w:rFonts w:ascii="Times New Roman" w:hAnsi="Times New Roman" w:cs="Times New Roman"/>
                <w:sz w:val="20"/>
                <w:szCs w:val="20"/>
              </w:rPr>
            </w:pPr>
            <w:r w:rsidRPr="008D155F">
              <w:rPr>
                <w:rFonts w:ascii="Times New Roman" w:hAnsi="Times New Roman" w:cs="Times New Roman"/>
                <w:sz w:val="20"/>
                <w:szCs w:val="20"/>
              </w:rPr>
              <w:t xml:space="preserve">the comptroller </w:t>
            </w:r>
            <w:r>
              <w:rPr>
                <w:rFonts w:ascii="Times New Roman" w:hAnsi="Times New Roman" w:cs="Times New Roman"/>
                <w:sz w:val="20"/>
                <w:szCs w:val="20"/>
              </w:rPr>
              <w:t>shall</w:t>
            </w:r>
            <w:r w:rsidRPr="008D155F">
              <w:rPr>
                <w:rFonts w:ascii="Times New Roman" w:hAnsi="Times New Roman" w:cs="Times New Roman"/>
                <w:sz w:val="20"/>
                <w:szCs w:val="20"/>
              </w:rPr>
              <w:t xml:space="preserve"> each</w:t>
            </w:r>
            <w:r>
              <w:rPr>
                <w:rFonts w:ascii="Times New Roman" w:hAnsi="Times New Roman" w:cs="Times New Roman"/>
                <w:sz w:val="20"/>
                <w:szCs w:val="20"/>
              </w:rPr>
              <w:t xml:space="preserve"> provide comments on the higher </w:t>
            </w:r>
            <w:r w:rsidRPr="008D155F">
              <w:rPr>
                <w:rFonts w:ascii="Times New Roman" w:hAnsi="Times New Roman" w:cs="Times New Roman"/>
                <w:sz w:val="20"/>
                <w:szCs w:val="20"/>
              </w:rPr>
              <w:t>education funding formula to the general assembly (3.4A)</w:t>
            </w:r>
          </w:p>
        </w:tc>
        <w:tc>
          <w:tcPr>
            <w:tcW w:w="2195" w:type="dxa"/>
          </w:tcPr>
          <w:p w:rsidR="00E1197D" w:rsidRPr="00490B62"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r>
              <w:t xml:space="preserve">X </w:t>
            </w:r>
          </w:p>
        </w:tc>
      </w:tr>
      <w:tr w:rsidR="00E1197D" w:rsidTr="000E4EA7">
        <w:tc>
          <w:tcPr>
            <w:tcW w:w="2245" w:type="dxa"/>
          </w:tcPr>
          <w:p w:rsidR="00E1197D" w:rsidRDefault="00E1197D" w:rsidP="000E4EA7">
            <w:pPr>
              <w:rPr>
                <w:rFonts w:ascii="Times New Roman" w:hAnsi="Times New Roman" w:cs="Times New Roman"/>
                <w:sz w:val="20"/>
                <w:szCs w:val="20"/>
              </w:rPr>
            </w:pPr>
          </w:p>
        </w:tc>
        <w:tc>
          <w:tcPr>
            <w:tcW w:w="2221" w:type="dxa"/>
          </w:tcPr>
          <w:p w:rsidR="00E1197D" w:rsidRPr="008D155F" w:rsidRDefault="00E1197D" w:rsidP="000E4EA7">
            <w:pPr>
              <w:autoSpaceDE w:val="0"/>
              <w:autoSpaceDN w:val="0"/>
              <w:adjustRightInd w:val="0"/>
              <w:rPr>
                <w:rFonts w:ascii="Times New Roman" w:hAnsi="Times New Roman" w:cs="Times New Roman"/>
                <w:sz w:val="20"/>
                <w:szCs w:val="20"/>
              </w:rPr>
            </w:pPr>
            <w:r w:rsidRPr="008350C6">
              <w:rPr>
                <w:rFonts w:ascii="Times New Roman" w:hAnsi="Times New Roman" w:cs="Times New Roman"/>
                <w:sz w:val="20"/>
                <w:szCs w:val="20"/>
              </w:rPr>
              <w:t xml:space="preserve">The commission, with commissioner of finance and comptroller, shall establish uniform </w:t>
            </w:r>
            <w:r w:rsidRPr="008350C6">
              <w:rPr>
                <w:rFonts w:ascii="Times New Roman" w:hAnsi="Times New Roman" w:cs="Times New Roman"/>
                <w:sz w:val="20"/>
                <w:szCs w:val="20"/>
              </w:rPr>
              <w:lastRenderedPageBreak/>
              <w:t>standards of accounting, records and statistical reporting with which stand</w:t>
            </w:r>
            <w:r>
              <w:rPr>
                <w:rFonts w:ascii="Times New Roman" w:hAnsi="Times New Roman" w:cs="Times New Roman"/>
                <w:sz w:val="20"/>
                <w:szCs w:val="20"/>
              </w:rPr>
              <w:t xml:space="preserve">ards shall be adhered to by the </w:t>
            </w:r>
            <w:r w:rsidRPr="008350C6">
              <w:rPr>
                <w:rFonts w:ascii="Times New Roman" w:hAnsi="Times New Roman" w:cs="Times New Roman"/>
                <w:sz w:val="20"/>
                <w:szCs w:val="20"/>
              </w:rPr>
              <w:t>various institutions in preparing f</w:t>
            </w:r>
            <w:r>
              <w:rPr>
                <w:rFonts w:ascii="Times New Roman" w:hAnsi="Times New Roman" w:cs="Times New Roman"/>
                <w:sz w:val="20"/>
                <w:szCs w:val="20"/>
              </w:rPr>
              <w:t xml:space="preserve">or submission to the commission </w:t>
            </w:r>
            <w:r w:rsidRPr="008350C6">
              <w:rPr>
                <w:rFonts w:ascii="Times New Roman" w:hAnsi="Times New Roman" w:cs="Times New Roman"/>
                <w:sz w:val="20"/>
                <w:szCs w:val="20"/>
              </w:rPr>
              <w:t>statistical data and requests for appropriations</w:t>
            </w:r>
            <w:r>
              <w:rPr>
                <w:rFonts w:ascii="Times New Roman" w:hAnsi="Times New Roman" w:cs="Times New Roman"/>
                <w:sz w:val="20"/>
                <w:szCs w:val="20"/>
              </w:rPr>
              <w:t xml:space="preserve"> (3.4C)</w:t>
            </w:r>
          </w:p>
        </w:tc>
        <w:tc>
          <w:tcPr>
            <w:tcW w:w="2195" w:type="dxa"/>
          </w:tcPr>
          <w:p w:rsidR="00E1197D" w:rsidRPr="0056445F"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tc>
      </w:tr>
      <w:tr w:rsidR="00E1197D" w:rsidTr="000E4EA7">
        <w:tc>
          <w:tcPr>
            <w:tcW w:w="2245" w:type="dxa"/>
          </w:tcPr>
          <w:p w:rsidR="00E1197D" w:rsidRDefault="00E1197D" w:rsidP="000E4EA7">
            <w:pPr>
              <w:rPr>
                <w:rFonts w:ascii="Times New Roman" w:hAnsi="Times New Roman" w:cs="Times New Roman"/>
                <w:sz w:val="20"/>
                <w:szCs w:val="20"/>
              </w:rPr>
            </w:pPr>
          </w:p>
        </w:tc>
        <w:tc>
          <w:tcPr>
            <w:tcW w:w="2221" w:type="dxa"/>
          </w:tcPr>
          <w:p w:rsidR="00E1197D" w:rsidRPr="008D155F" w:rsidRDefault="00E1197D" w:rsidP="000E4E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commission shall review tuition and </w:t>
            </w:r>
            <w:proofErr w:type="spellStart"/>
            <w:r>
              <w:rPr>
                <w:rFonts w:ascii="Times New Roman" w:hAnsi="Times New Roman" w:cs="Times New Roman"/>
                <w:sz w:val="20"/>
                <w:szCs w:val="20"/>
              </w:rPr>
              <w:t>maitence</w:t>
            </w:r>
            <w:proofErr w:type="spellEnd"/>
            <w:r>
              <w:rPr>
                <w:rFonts w:ascii="Times New Roman" w:hAnsi="Times New Roman" w:cs="Times New Roman"/>
                <w:sz w:val="20"/>
                <w:szCs w:val="20"/>
              </w:rPr>
              <w:t xml:space="preserve"> fees and other charges assessed by each institution and make recommendations to the respective governing boards (3.4B)</w:t>
            </w:r>
          </w:p>
        </w:tc>
        <w:tc>
          <w:tcPr>
            <w:tcW w:w="2195" w:type="dxa"/>
          </w:tcPr>
          <w:p w:rsidR="00E1197D" w:rsidRPr="0056445F"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tc>
      </w:tr>
      <w:tr w:rsidR="00E1197D" w:rsidTr="000E4EA7">
        <w:trPr>
          <w:trHeight w:val="845"/>
        </w:trPr>
        <w:tc>
          <w:tcPr>
            <w:tcW w:w="2245" w:type="dxa"/>
          </w:tcPr>
          <w:p w:rsidR="00E1197D" w:rsidRDefault="00E1197D" w:rsidP="000E4EA7">
            <w:pPr>
              <w:rPr>
                <w:rFonts w:ascii="Times New Roman" w:hAnsi="Times New Roman" w:cs="Times New Roman"/>
                <w:sz w:val="20"/>
                <w:szCs w:val="20"/>
              </w:rPr>
            </w:pPr>
          </w:p>
        </w:tc>
        <w:tc>
          <w:tcPr>
            <w:tcW w:w="2221" w:type="dxa"/>
          </w:tcPr>
          <w:p w:rsidR="00E1197D" w:rsidRDefault="00E1197D" w:rsidP="000E4EA7">
            <w:pPr>
              <w:autoSpaceDE w:val="0"/>
              <w:autoSpaceDN w:val="0"/>
              <w:adjustRightInd w:val="0"/>
              <w:rPr>
                <w:rFonts w:ascii="Times New Roman" w:hAnsi="Times New Roman" w:cs="Times New Roman"/>
                <w:sz w:val="20"/>
                <w:szCs w:val="20"/>
              </w:rPr>
            </w:pPr>
            <w:r w:rsidRPr="00265D5D">
              <w:rPr>
                <w:rFonts w:ascii="Times New Roman" w:hAnsi="Times New Roman" w:cs="Times New Roman"/>
                <w:sz w:val="20"/>
                <w:szCs w:val="20"/>
              </w:rPr>
              <w:t>end of terms enrollments</w:t>
            </w:r>
            <w:r>
              <w:rPr>
                <w:rFonts w:ascii="Times New Roman" w:hAnsi="Times New Roman" w:cs="Times New Roman"/>
                <w:sz w:val="20"/>
                <w:szCs w:val="20"/>
              </w:rPr>
              <w:t xml:space="preserve">, </w:t>
            </w:r>
            <w:r w:rsidRPr="00265D5D">
              <w:rPr>
                <w:rFonts w:ascii="Times New Roman" w:hAnsi="Times New Roman" w:cs="Times New Roman"/>
                <w:sz w:val="20"/>
                <w:szCs w:val="20"/>
              </w:rPr>
              <w:t>student retention,</w:t>
            </w:r>
            <w:r>
              <w:rPr>
                <w:rFonts w:ascii="Times New Roman" w:hAnsi="Times New Roman" w:cs="Times New Roman"/>
                <w:sz w:val="20"/>
                <w:szCs w:val="20"/>
              </w:rPr>
              <w:t xml:space="preserve"> transfers</w:t>
            </w:r>
          </w:p>
        </w:tc>
        <w:tc>
          <w:tcPr>
            <w:tcW w:w="2195" w:type="dxa"/>
          </w:tcPr>
          <w:p w:rsidR="00E1197D" w:rsidRPr="0056445F"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tc>
      </w:tr>
      <w:tr w:rsidR="00E1197D" w:rsidTr="000E4EA7">
        <w:trPr>
          <w:trHeight w:val="845"/>
        </w:trPr>
        <w:tc>
          <w:tcPr>
            <w:tcW w:w="2245" w:type="dxa"/>
          </w:tcPr>
          <w:p w:rsidR="00E1197D" w:rsidRDefault="00E1197D" w:rsidP="000E4EA7">
            <w:pPr>
              <w:rPr>
                <w:rFonts w:ascii="Times New Roman" w:hAnsi="Times New Roman" w:cs="Times New Roman"/>
                <w:sz w:val="20"/>
                <w:szCs w:val="20"/>
              </w:rPr>
            </w:pPr>
          </w:p>
        </w:tc>
        <w:tc>
          <w:tcPr>
            <w:tcW w:w="2221" w:type="dxa"/>
          </w:tcPr>
          <w:p w:rsidR="00E1197D" w:rsidRPr="00265D5D" w:rsidRDefault="00E1197D" w:rsidP="000E4EA7">
            <w:pPr>
              <w:autoSpaceDE w:val="0"/>
              <w:autoSpaceDN w:val="0"/>
              <w:adjustRightInd w:val="0"/>
              <w:rPr>
                <w:rFonts w:ascii="Times New Roman" w:hAnsi="Times New Roman" w:cs="Times New Roman"/>
                <w:sz w:val="20"/>
                <w:szCs w:val="20"/>
              </w:rPr>
            </w:pPr>
            <w:r w:rsidRPr="00F27D21">
              <w:rPr>
                <w:rFonts w:ascii="Times New Roman" w:hAnsi="Times New Roman" w:cs="Times New Roman"/>
                <w:sz w:val="20"/>
                <w:szCs w:val="20"/>
              </w:rPr>
              <w:t xml:space="preserve">Promotion of partnerships between community colleges and technology centers </w:t>
            </w:r>
            <w:r>
              <w:rPr>
                <w:rFonts w:ascii="Times New Roman" w:hAnsi="Times New Roman" w:cs="Times New Roman"/>
                <w:sz w:val="20"/>
                <w:szCs w:val="20"/>
              </w:rPr>
              <w:t xml:space="preserve"> </w:t>
            </w:r>
            <w:r w:rsidRPr="00F27D21">
              <w:rPr>
                <w:rFonts w:ascii="Times New Roman" w:hAnsi="Times New Roman" w:cs="Times New Roman"/>
                <w:sz w:val="20"/>
                <w:szCs w:val="20"/>
              </w:rPr>
              <w:t>(8.c5</w:t>
            </w:r>
            <w:r>
              <w:rPr>
                <w:rFonts w:ascii="Times New Roman" w:hAnsi="Times New Roman" w:cs="Times New Roman"/>
                <w:sz w:val="20"/>
                <w:szCs w:val="20"/>
              </w:rPr>
              <w:t>)</w:t>
            </w:r>
          </w:p>
        </w:tc>
        <w:tc>
          <w:tcPr>
            <w:tcW w:w="2195" w:type="dxa"/>
          </w:tcPr>
          <w:p w:rsidR="00E1197D" w:rsidRPr="00F27D21"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tc>
      </w:tr>
      <w:tr w:rsidR="00E1197D" w:rsidTr="000E4EA7">
        <w:trPr>
          <w:trHeight w:val="845"/>
        </w:trPr>
        <w:tc>
          <w:tcPr>
            <w:tcW w:w="2245" w:type="dxa"/>
          </w:tcPr>
          <w:p w:rsidR="00E1197D" w:rsidRDefault="00E1197D" w:rsidP="000E4EA7">
            <w:pPr>
              <w:rPr>
                <w:rFonts w:ascii="Times New Roman" w:hAnsi="Times New Roman" w:cs="Times New Roman"/>
                <w:sz w:val="20"/>
                <w:szCs w:val="20"/>
              </w:rPr>
            </w:pPr>
          </w:p>
        </w:tc>
        <w:tc>
          <w:tcPr>
            <w:tcW w:w="2221" w:type="dxa"/>
          </w:tcPr>
          <w:p w:rsidR="00E1197D" w:rsidRPr="00265D5D" w:rsidRDefault="00E1197D" w:rsidP="000E4EA7">
            <w:pPr>
              <w:autoSpaceDE w:val="0"/>
              <w:autoSpaceDN w:val="0"/>
              <w:adjustRightInd w:val="0"/>
              <w:rPr>
                <w:rFonts w:ascii="Times New Roman" w:hAnsi="Times New Roman" w:cs="Times New Roman"/>
                <w:sz w:val="20"/>
                <w:szCs w:val="20"/>
              </w:rPr>
            </w:pPr>
            <w:r w:rsidRPr="00B542DE">
              <w:rPr>
                <w:rFonts w:ascii="Times New Roman" w:hAnsi="Times New Roman" w:cs="Times New Roman"/>
                <w:sz w:val="20"/>
                <w:szCs w:val="20"/>
              </w:rPr>
              <w:t>Tennessee four year institutions may no longer offer remedial courses, but can plan with community college to offer remedial courses (7)</w:t>
            </w:r>
          </w:p>
        </w:tc>
        <w:tc>
          <w:tcPr>
            <w:tcW w:w="2195" w:type="dxa"/>
          </w:tcPr>
          <w:p w:rsidR="00E1197D" w:rsidRPr="00F27D21" w:rsidRDefault="00E1197D" w:rsidP="000E4EA7">
            <w:pPr>
              <w:autoSpaceDE w:val="0"/>
              <w:autoSpaceDN w:val="0"/>
              <w:adjustRightInd w:val="0"/>
              <w:rPr>
                <w:rFonts w:ascii="Times New Roman" w:hAnsi="Times New Roman" w:cs="Times New Roman"/>
                <w:sz w:val="20"/>
                <w:szCs w:val="20"/>
              </w:rPr>
            </w:pPr>
          </w:p>
        </w:tc>
        <w:tc>
          <w:tcPr>
            <w:tcW w:w="2195" w:type="dxa"/>
          </w:tcPr>
          <w:p w:rsidR="00E1197D" w:rsidRDefault="00E1197D" w:rsidP="000E4EA7"/>
        </w:tc>
      </w:tr>
    </w:tbl>
    <w:p w:rsidR="00DD5D13" w:rsidRDefault="00DD5D13">
      <w:pPr>
        <w:rPr>
          <w:rFonts w:ascii="Times New Roman" w:hAnsi="Times New Roman" w:cs="Times New Roman"/>
          <w:b/>
          <w:sz w:val="24"/>
          <w:szCs w:val="24"/>
        </w:rPr>
      </w:pPr>
    </w:p>
    <w:p w:rsidR="00AD6592" w:rsidRDefault="00B41180">
      <w:pPr>
        <w:rPr>
          <w:rFonts w:ascii="Times New Roman" w:hAnsi="Times New Roman" w:cs="Times New Roman"/>
          <w:sz w:val="24"/>
          <w:szCs w:val="24"/>
        </w:rPr>
      </w:pPr>
      <w:r>
        <w:rPr>
          <w:rFonts w:ascii="Times New Roman" w:hAnsi="Times New Roman" w:cs="Times New Roman"/>
          <w:sz w:val="24"/>
          <w:szCs w:val="24"/>
        </w:rPr>
        <w:t>Table 2</w:t>
      </w:r>
      <w:r w:rsidR="005A42D9">
        <w:rPr>
          <w:rFonts w:ascii="Times New Roman" w:hAnsi="Times New Roman" w:cs="Times New Roman"/>
          <w:sz w:val="24"/>
          <w:szCs w:val="24"/>
        </w:rPr>
        <w:t>B</w:t>
      </w:r>
      <w:r w:rsidR="008205FD">
        <w:rPr>
          <w:rFonts w:ascii="Times New Roman" w:hAnsi="Times New Roman" w:cs="Times New Roman"/>
          <w:sz w:val="24"/>
          <w:szCs w:val="24"/>
        </w:rPr>
        <w:t>. Visual Representation of TN Input-Process-Output-</w:t>
      </w:r>
      <w:r w:rsidR="004C124C">
        <w:rPr>
          <w:rFonts w:ascii="Times New Roman" w:hAnsi="Times New Roman" w:cs="Times New Roman"/>
          <w:sz w:val="24"/>
          <w:szCs w:val="24"/>
        </w:rPr>
        <w:t>Outcome</w:t>
      </w:r>
      <w:r w:rsidR="005A42D9">
        <w:rPr>
          <w:rFonts w:ascii="Times New Roman" w:hAnsi="Times New Roman" w:cs="Times New Roman"/>
          <w:sz w:val="24"/>
          <w:szCs w:val="24"/>
        </w:rPr>
        <w:t>.</w:t>
      </w:r>
    </w:p>
    <w:p w:rsidR="008205FD" w:rsidRDefault="008205FD">
      <w:pPr>
        <w:rPr>
          <w:rFonts w:ascii="Times New Roman" w:hAnsi="Times New Roman" w:cs="Times New Roman"/>
          <w:sz w:val="24"/>
          <w:szCs w:val="24"/>
        </w:rPr>
      </w:pPr>
      <w:r>
        <w:rPr>
          <w:noProof/>
        </w:rPr>
        <w:drawing>
          <wp:inline distT="0" distB="0" distL="0" distR="0" wp14:anchorId="2E8D04FD" wp14:editId="2AC84BF5">
            <wp:extent cx="4675517" cy="229462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240E" w:rsidRPr="000E4EA7" w:rsidRDefault="00B41180">
      <w:pPr>
        <w:rPr>
          <w:rFonts w:ascii="Times New Roman" w:hAnsi="Times New Roman" w:cs="Times New Roman"/>
          <w:sz w:val="24"/>
          <w:szCs w:val="24"/>
        </w:rPr>
      </w:pPr>
      <w:r>
        <w:rPr>
          <w:rFonts w:ascii="Times New Roman" w:hAnsi="Times New Roman" w:cs="Times New Roman"/>
          <w:sz w:val="24"/>
          <w:szCs w:val="24"/>
        </w:rPr>
        <w:lastRenderedPageBreak/>
        <w:t>Table 3</w:t>
      </w:r>
      <w:r w:rsidR="005A42D9">
        <w:rPr>
          <w:rFonts w:ascii="Times New Roman" w:hAnsi="Times New Roman" w:cs="Times New Roman"/>
          <w:sz w:val="24"/>
          <w:szCs w:val="24"/>
        </w:rPr>
        <w:t>B</w:t>
      </w:r>
      <w:r>
        <w:rPr>
          <w:rFonts w:ascii="Times New Roman" w:hAnsi="Times New Roman" w:cs="Times New Roman"/>
          <w:sz w:val="24"/>
          <w:szCs w:val="24"/>
        </w:rPr>
        <w:t>.</w:t>
      </w:r>
    </w:p>
    <w:p w:rsidR="0013240E" w:rsidRPr="008C0F97" w:rsidRDefault="0013240E" w:rsidP="0013240E">
      <w:pPr>
        <w:rPr>
          <w:rFonts w:ascii="Times New Roman" w:hAnsi="Times New Roman" w:cs="Times New Roman"/>
          <w:sz w:val="24"/>
          <w:szCs w:val="24"/>
        </w:rPr>
      </w:pPr>
      <w:r>
        <w:rPr>
          <w:rFonts w:ascii="Times New Roman" w:hAnsi="Times New Roman" w:cs="Times New Roman"/>
          <w:sz w:val="24"/>
          <w:szCs w:val="24"/>
        </w:rPr>
        <w:t>Hegemony/Discourse chart (number in parentheses refers to location in policy, the following number is the frequency, and TC is total count)</w:t>
      </w:r>
    </w:p>
    <w:tbl>
      <w:tblPr>
        <w:tblStyle w:val="TableGrid"/>
        <w:tblW w:w="0" w:type="auto"/>
        <w:tblLook w:val="04A0" w:firstRow="1" w:lastRow="0" w:firstColumn="1" w:lastColumn="0" w:noHBand="0" w:noVBand="1"/>
      </w:tblPr>
      <w:tblGrid>
        <w:gridCol w:w="3030"/>
        <w:gridCol w:w="2980"/>
        <w:gridCol w:w="2846"/>
      </w:tblGrid>
      <w:tr w:rsidR="006C5705" w:rsidTr="006C5705">
        <w:tc>
          <w:tcPr>
            <w:tcW w:w="3030" w:type="dxa"/>
          </w:tcPr>
          <w:p w:rsidR="006C5705" w:rsidRPr="005B5C40" w:rsidRDefault="006C5705" w:rsidP="00E2221F">
            <w:pPr>
              <w:pStyle w:val="NormalWeb"/>
              <w:ind w:firstLine="0"/>
              <w:rPr>
                <w:b/>
              </w:rPr>
            </w:pPr>
            <w:r w:rsidRPr="005B5C40">
              <w:rPr>
                <w:b/>
              </w:rPr>
              <w:t>Hegemonic/Neoliberal Term</w:t>
            </w:r>
            <w:r>
              <w:rPr>
                <w:b/>
              </w:rPr>
              <w:t>/Notion</w:t>
            </w:r>
          </w:p>
        </w:tc>
        <w:tc>
          <w:tcPr>
            <w:tcW w:w="2980" w:type="dxa"/>
          </w:tcPr>
          <w:p w:rsidR="006C5705" w:rsidRPr="005B5C40" w:rsidRDefault="006C5705" w:rsidP="00E2221F">
            <w:pPr>
              <w:pStyle w:val="NormalWeb"/>
              <w:ind w:firstLine="0"/>
              <w:rPr>
                <w:b/>
              </w:rPr>
            </w:pPr>
            <w:r>
              <w:rPr>
                <w:b/>
              </w:rPr>
              <w:t xml:space="preserve">Location/Frequency </w:t>
            </w:r>
            <w:r w:rsidRPr="005B5C40">
              <w:rPr>
                <w:b/>
              </w:rPr>
              <w:t xml:space="preserve">   </w:t>
            </w:r>
          </w:p>
        </w:tc>
        <w:tc>
          <w:tcPr>
            <w:tcW w:w="2846" w:type="dxa"/>
          </w:tcPr>
          <w:p w:rsidR="006C5705" w:rsidRPr="005B5C40" w:rsidRDefault="006C5705" w:rsidP="00E2221F">
            <w:pPr>
              <w:pStyle w:val="NormalWeb"/>
              <w:ind w:firstLine="0"/>
              <w:rPr>
                <w:b/>
              </w:rPr>
            </w:pPr>
            <w:r w:rsidRPr="005B5C40">
              <w:rPr>
                <w:b/>
              </w:rPr>
              <w:t xml:space="preserve">How the </w:t>
            </w:r>
            <w:r>
              <w:rPr>
                <w:b/>
              </w:rPr>
              <w:t>term shapes the public good</w:t>
            </w:r>
          </w:p>
        </w:tc>
      </w:tr>
      <w:tr w:rsidR="006C5705" w:rsidTr="006C5705">
        <w:tc>
          <w:tcPr>
            <w:tcW w:w="3030" w:type="dxa"/>
          </w:tcPr>
          <w:p w:rsidR="006C5705" w:rsidRDefault="006C5705" w:rsidP="009717B6">
            <w:pPr>
              <w:pStyle w:val="NormalWeb"/>
              <w:ind w:firstLine="0"/>
            </w:pPr>
            <w:r>
              <w:t>References to the market/economic growth/ revenue and profit generation investment/ commercialization</w:t>
            </w:r>
          </w:p>
          <w:p w:rsidR="006C5705" w:rsidRDefault="006C5705" w:rsidP="009717B6">
            <w:pPr>
              <w:pStyle w:val="NormalWeb"/>
              <w:ind w:firstLine="0"/>
            </w:pPr>
          </w:p>
        </w:tc>
        <w:tc>
          <w:tcPr>
            <w:tcW w:w="2980" w:type="dxa"/>
          </w:tcPr>
          <w:p w:rsidR="006C5705" w:rsidRDefault="006C5705" w:rsidP="009717B6">
            <w:pPr>
              <w:rPr>
                <w:rFonts w:ascii="Times New Roman" w:hAnsi="Times New Roman" w:cs="Times New Roman"/>
                <w:sz w:val="24"/>
                <w:szCs w:val="24"/>
              </w:rPr>
            </w:pPr>
            <w:r>
              <w:rPr>
                <w:rFonts w:ascii="Times New Roman" w:hAnsi="Times New Roman" w:cs="Times New Roman"/>
                <w:sz w:val="24"/>
                <w:szCs w:val="24"/>
              </w:rPr>
              <w:t xml:space="preserve">(3.1A)1, (3.3)1, (9.1-8)3, (11b)4, </w:t>
            </w:r>
          </w:p>
          <w:p w:rsidR="006C5705" w:rsidRDefault="006C5705" w:rsidP="009717B6">
            <w:pPr>
              <w:rPr>
                <w:rFonts w:ascii="Times New Roman" w:hAnsi="Times New Roman" w:cs="Times New Roman"/>
                <w:sz w:val="24"/>
                <w:szCs w:val="24"/>
              </w:rPr>
            </w:pPr>
          </w:p>
          <w:p w:rsidR="006C5705" w:rsidRPr="004273FA" w:rsidRDefault="006C5705" w:rsidP="009717B6">
            <w:pPr>
              <w:rPr>
                <w:rFonts w:ascii="Times New Roman" w:hAnsi="Times New Roman" w:cs="Times New Roman"/>
                <w:sz w:val="24"/>
                <w:szCs w:val="24"/>
              </w:rPr>
            </w:pPr>
            <w:r>
              <w:rPr>
                <w:rFonts w:ascii="Times New Roman" w:hAnsi="Times New Roman" w:cs="Times New Roman"/>
                <w:sz w:val="24"/>
                <w:szCs w:val="24"/>
              </w:rPr>
              <w:t>TC: 9</w:t>
            </w:r>
          </w:p>
        </w:tc>
        <w:tc>
          <w:tcPr>
            <w:tcW w:w="2846" w:type="dxa"/>
          </w:tcPr>
          <w:p w:rsidR="006C5705" w:rsidRPr="006A1184" w:rsidRDefault="006C5705" w:rsidP="009717B6">
            <w:pPr>
              <w:rPr>
                <w:rFonts w:ascii="Times New Roman" w:hAnsi="Times New Roman" w:cs="Times New Roman"/>
                <w:sz w:val="20"/>
                <w:szCs w:val="20"/>
              </w:rPr>
            </w:pPr>
            <w:r>
              <w:rPr>
                <w:rFonts w:ascii="Times New Roman" w:hAnsi="Times New Roman" w:cs="Times New Roman"/>
                <w:sz w:val="20"/>
                <w:szCs w:val="20"/>
              </w:rPr>
              <w:t>The promotion of e</w:t>
            </w:r>
            <w:r w:rsidRPr="006A1184">
              <w:rPr>
                <w:rFonts w:ascii="Times New Roman" w:hAnsi="Times New Roman" w:cs="Times New Roman"/>
                <w:sz w:val="20"/>
                <w:szCs w:val="20"/>
              </w:rPr>
              <w:t>conomic development</w:t>
            </w:r>
            <w:r>
              <w:rPr>
                <w:rFonts w:ascii="Times New Roman" w:hAnsi="Times New Roman" w:cs="Times New Roman"/>
                <w:sz w:val="20"/>
                <w:szCs w:val="20"/>
              </w:rPr>
              <w:t xml:space="preserve"> in TN</w:t>
            </w:r>
            <w:r w:rsidRPr="006A1184">
              <w:rPr>
                <w:rFonts w:ascii="Times New Roman" w:hAnsi="Times New Roman" w:cs="Times New Roman"/>
                <w:sz w:val="20"/>
                <w:szCs w:val="20"/>
              </w:rPr>
              <w:t xml:space="preserve"> is one of the main desired outcomes of TN</w:t>
            </w:r>
            <w:r>
              <w:rPr>
                <w:rFonts w:ascii="Times New Roman" w:hAnsi="Times New Roman" w:cs="Times New Roman"/>
                <w:sz w:val="20"/>
                <w:szCs w:val="20"/>
              </w:rPr>
              <w:t xml:space="preserve"> PBF</w:t>
            </w:r>
            <w:r w:rsidRPr="006A1184">
              <w:rPr>
                <w:rFonts w:ascii="Times New Roman" w:hAnsi="Times New Roman" w:cs="Times New Roman"/>
                <w:sz w:val="20"/>
                <w:szCs w:val="20"/>
              </w:rPr>
              <w:t xml:space="preserve">. </w:t>
            </w:r>
            <w:r>
              <w:rPr>
                <w:rFonts w:ascii="Times New Roman" w:hAnsi="Times New Roman" w:cs="Times New Roman"/>
                <w:sz w:val="20"/>
                <w:szCs w:val="20"/>
              </w:rPr>
              <w:t>I</w:t>
            </w:r>
            <w:r w:rsidRPr="006A1184">
              <w:rPr>
                <w:rFonts w:ascii="Times New Roman" w:hAnsi="Times New Roman" w:cs="Times New Roman"/>
                <w:sz w:val="20"/>
                <w:szCs w:val="20"/>
              </w:rPr>
              <w:t xml:space="preserve">n conjunction with </w:t>
            </w:r>
            <w:r>
              <w:rPr>
                <w:rFonts w:ascii="Times New Roman" w:hAnsi="Times New Roman" w:cs="Times New Roman"/>
                <w:sz w:val="20"/>
                <w:szCs w:val="20"/>
              </w:rPr>
              <w:t>other business related</w:t>
            </w:r>
            <w:r w:rsidRPr="006A1184">
              <w:rPr>
                <w:rFonts w:ascii="Times New Roman" w:hAnsi="Times New Roman" w:cs="Times New Roman"/>
                <w:sz w:val="20"/>
                <w:szCs w:val="20"/>
              </w:rPr>
              <w:t xml:space="preserve"> references in the policy</w:t>
            </w:r>
            <w:r>
              <w:rPr>
                <w:rFonts w:ascii="Times New Roman" w:hAnsi="Times New Roman" w:cs="Times New Roman"/>
                <w:sz w:val="20"/>
                <w:szCs w:val="20"/>
              </w:rPr>
              <w:t>,</w:t>
            </w:r>
            <w:r w:rsidRPr="006A1184">
              <w:rPr>
                <w:rFonts w:ascii="Times New Roman" w:hAnsi="Times New Roman" w:cs="Times New Roman"/>
                <w:sz w:val="20"/>
                <w:szCs w:val="20"/>
              </w:rPr>
              <w:t xml:space="preserve"> the public good i</w:t>
            </w:r>
            <w:r>
              <w:rPr>
                <w:rFonts w:ascii="Times New Roman" w:hAnsi="Times New Roman" w:cs="Times New Roman"/>
                <w:sz w:val="20"/>
                <w:szCs w:val="20"/>
              </w:rPr>
              <w:t xml:space="preserve">s </w:t>
            </w:r>
            <w:r w:rsidRPr="006A1184">
              <w:rPr>
                <w:rFonts w:ascii="Times New Roman" w:hAnsi="Times New Roman" w:cs="Times New Roman"/>
                <w:sz w:val="20"/>
                <w:szCs w:val="20"/>
              </w:rPr>
              <w:t xml:space="preserve">decidedly </w:t>
            </w:r>
            <w:r>
              <w:rPr>
                <w:rFonts w:ascii="Times New Roman" w:hAnsi="Times New Roman" w:cs="Times New Roman"/>
                <w:sz w:val="20"/>
                <w:szCs w:val="20"/>
              </w:rPr>
              <w:t xml:space="preserve">construed in </w:t>
            </w:r>
            <w:r w:rsidRPr="006A1184">
              <w:rPr>
                <w:rFonts w:ascii="Times New Roman" w:hAnsi="Times New Roman" w:cs="Times New Roman"/>
                <w:sz w:val="20"/>
                <w:szCs w:val="20"/>
              </w:rPr>
              <w:t xml:space="preserve">market </w:t>
            </w:r>
            <w:r>
              <w:rPr>
                <w:rFonts w:ascii="Times New Roman" w:hAnsi="Times New Roman" w:cs="Times New Roman"/>
                <w:sz w:val="20"/>
                <w:szCs w:val="20"/>
              </w:rPr>
              <w:t>terms and financial capabilities. As has been mentioned before , the market cannot (and will not) readily produce non-</w:t>
            </w:r>
            <w:proofErr w:type="spellStart"/>
            <w:r>
              <w:rPr>
                <w:rFonts w:ascii="Times New Roman" w:hAnsi="Times New Roman" w:cs="Times New Roman"/>
                <w:sz w:val="20"/>
                <w:szCs w:val="20"/>
              </w:rPr>
              <w:t>rivalrous</w:t>
            </w:r>
            <w:proofErr w:type="spellEnd"/>
            <w:r>
              <w:rPr>
                <w:rFonts w:ascii="Times New Roman" w:hAnsi="Times New Roman" w:cs="Times New Roman"/>
                <w:sz w:val="20"/>
                <w:szCs w:val="20"/>
              </w:rPr>
              <w:t xml:space="preserve"> and non-excludable goods (</w:t>
            </w:r>
            <w:proofErr w:type="spellStart"/>
            <w:r>
              <w:rPr>
                <w:rFonts w:ascii="Times New Roman" w:hAnsi="Times New Roman" w:cs="Times New Roman"/>
                <w:sz w:val="20"/>
                <w:szCs w:val="20"/>
              </w:rPr>
              <w:t>Marginson</w:t>
            </w:r>
            <w:proofErr w:type="spellEnd"/>
            <w:r>
              <w:rPr>
                <w:rFonts w:ascii="Times New Roman" w:hAnsi="Times New Roman" w:cs="Times New Roman"/>
                <w:sz w:val="20"/>
                <w:szCs w:val="20"/>
              </w:rPr>
              <w:t xml:space="preserve">, 2007). And the public good of any polity will be impoverished if there is a lack of public goods. </w:t>
            </w:r>
          </w:p>
        </w:tc>
      </w:tr>
      <w:tr w:rsidR="006C5705" w:rsidTr="006C5705">
        <w:tc>
          <w:tcPr>
            <w:tcW w:w="3030" w:type="dxa"/>
          </w:tcPr>
          <w:p w:rsidR="006C5705" w:rsidRDefault="006C5705" w:rsidP="00E2221F">
            <w:pPr>
              <w:pStyle w:val="NormalWeb"/>
              <w:ind w:firstLine="0"/>
            </w:pPr>
            <w:r>
              <w:t xml:space="preserve">References to efficiency, optimal use of resources  </w:t>
            </w:r>
          </w:p>
        </w:tc>
        <w:tc>
          <w:tcPr>
            <w:tcW w:w="2980" w:type="dxa"/>
          </w:tcPr>
          <w:p w:rsidR="006C5705" w:rsidRDefault="006C5705">
            <w:pPr>
              <w:rPr>
                <w:rFonts w:ascii="Times New Roman" w:hAnsi="Times New Roman" w:cs="Times New Roman"/>
                <w:sz w:val="24"/>
                <w:szCs w:val="24"/>
              </w:rPr>
            </w:pPr>
            <w:r>
              <w:rPr>
                <w:rFonts w:ascii="Times New Roman" w:hAnsi="Times New Roman" w:cs="Times New Roman"/>
                <w:sz w:val="24"/>
                <w:szCs w:val="24"/>
              </w:rPr>
              <w:t>(1C)2, (4.2)1, (8.3)4, (13) 4</w:t>
            </w:r>
          </w:p>
          <w:p w:rsidR="006C5705" w:rsidRDefault="006C5705">
            <w:pPr>
              <w:rPr>
                <w:rFonts w:ascii="Times New Roman" w:hAnsi="Times New Roman" w:cs="Times New Roman"/>
                <w:sz w:val="24"/>
                <w:szCs w:val="24"/>
              </w:rPr>
            </w:pPr>
          </w:p>
          <w:p w:rsidR="006C5705" w:rsidRPr="00626E1C" w:rsidRDefault="006C5705">
            <w:pPr>
              <w:rPr>
                <w:rFonts w:ascii="Times New Roman" w:hAnsi="Times New Roman" w:cs="Times New Roman"/>
                <w:sz w:val="24"/>
                <w:szCs w:val="24"/>
              </w:rPr>
            </w:pPr>
            <w:r>
              <w:rPr>
                <w:rFonts w:ascii="Times New Roman" w:hAnsi="Times New Roman" w:cs="Times New Roman"/>
                <w:sz w:val="24"/>
                <w:szCs w:val="24"/>
              </w:rPr>
              <w:t>TC: 11</w:t>
            </w:r>
          </w:p>
        </w:tc>
        <w:tc>
          <w:tcPr>
            <w:tcW w:w="2846" w:type="dxa"/>
          </w:tcPr>
          <w:p w:rsidR="006C5705" w:rsidRDefault="006C5705" w:rsidP="00AE4B50">
            <w:pPr>
              <w:rPr>
                <w:rFonts w:ascii="Times New Roman" w:hAnsi="Times New Roman" w:cs="Times New Roman"/>
                <w:sz w:val="20"/>
                <w:szCs w:val="20"/>
              </w:rPr>
            </w:pPr>
            <w:r>
              <w:rPr>
                <w:rFonts w:ascii="Times New Roman" w:hAnsi="Times New Roman" w:cs="Times New Roman"/>
                <w:sz w:val="20"/>
                <w:szCs w:val="20"/>
              </w:rPr>
              <w:t xml:space="preserve">There is a push by TN policymakers to ensure that TN institutions, especially community colleges, are not wasting resources and not duplicating programs. In addition, the TN legislature can audit all educational programs. Efficiency is a guiding principle of neoliberalism in general and the accountability movement in particular (Burke, 2005; Fowler, 2009). Efficiency is a valued foundational plank of the public good in TN higher education institutions one that is enforced with audit and government oversight. </w:t>
            </w:r>
          </w:p>
          <w:p w:rsidR="006C5705" w:rsidRDefault="006C5705" w:rsidP="00AE4B50">
            <w:pPr>
              <w:rPr>
                <w:rFonts w:ascii="Times New Roman" w:hAnsi="Times New Roman" w:cs="Times New Roman"/>
                <w:sz w:val="20"/>
                <w:szCs w:val="20"/>
              </w:rPr>
            </w:pPr>
          </w:p>
          <w:p w:rsidR="006C5705" w:rsidRPr="00066E3F" w:rsidRDefault="006C5705" w:rsidP="00AE4B50">
            <w:pPr>
              <w:rPr>
                <w:rFonts w:ascii="Times New Roman" w:hAnsi="Times New Roman" w:cs="Times New Roman"/>
                <w:sz w:val="20"/>
                <w:szCs w:val="20"/>
              </w:rPr>
            </w:pPr>
            <w:r>
              <w:rPr>
                <w:rFonts w:ascii="Times New Roman" w:hAnsi="Times New Roman" w:cs="Times New Roman"/>
                <w:sz w:val="20"/>
                <w:szCs w:val="20"/>
              </w:rPr>
              <w:t>Efficiency and accountability have been a wider concern of higher education policy in the US and globally over the last forty years (</w:t>
            </w:r>
            <w:proofErr w:type="spellStart"/>
            <w:r>
              <w:rPr>
                <w:rFonts w:ascii="Times New Roman" w:hAnsi="Times New Roman" w:cs="Times New Roman"/>
                <w:sz w:val="20"/>
                <w:szCs w:val="20"/>
              </w:rPr>
              <w:t>Prokou</w:t>
            </w:r>
            <w:proofErr w:type="spellEnd"/>
            <w:r>
              <w:rPr>
                <w:rFonts w:ascii="Times New Roman" w:hAnsi="Times New Roman" w:cs="Times New Roman"/>
                <w:sz w:val="20"/>
                <w:szCs w:val="20"/>
              </w:rPr>
              <w:t>, 2013). The TN policymakers have been inspired by this accountability focus. However, the focus on accountability has been pursued at the expense of social justice concerns (</w:t>
            </w:r>
            <w:proofErr w:type="spellStart"/>
            <w:r>
              <w:rPr>
                <w:rFonts w:ascii="Times New Roman" w:hAnsi="Times New Roman" w:cs="Times New Roman"/>
                <w:sz w:val="20"/>
                <w:szCs w:val="20"/>
              </w:rPr>
              <w:t>Mallott</w:t>
            </w:r>
            <w:proofErr w:type="spellEnd"/>
            <w:r>
              <w:rPr>
                <w:rFonts w:ascii="Times New Roman" w:hAnsi="Times New Roman" w:cs="Times New Roman"/>
                <w:sz w:val="20"/>
                <w:szCs w:val="20"/>
              </w:rPr>
              <w:t xml:space="preserve">, Hill &amp; </w:t>
            </w:r>
            <w:proofErr w:type="spellStart"/>
            <w:r>
              <w:rPr>
                <w:rFonts w:ascii="Times New Roman" w:hAnsi="Times New Roman" w:cs="Times New Roman"/>
                <w:sz w:val="20"/>
                <w:szCs w:val="20"/>
              </w:rPr>
              <w:t>Banefield</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Prokou</w:t>
            </w:r>
            <w:proofErr w:type="spellEnd"/>
            <w:r>
              <w:rPr>
                <w:rFonts w:ascii="Times New Roman" w:hAnsi="Times New Roman" w:cs="Times New Roman"/>
                <w:sz w:val="20"/>
                <w:szCs w:val="20"/>
              </w:rPr>
              <w:t xml:space="preserve">, 2013). </w:t>
            </w:r>
          </w:p>
        </w:tc>
      </w:tr>
      <w:tr w:rsidR="006C5705" w:rsidTr="006C5705">
        <w:tc>
          <w:tcPr>
            <w:tcW w:w="3030" w:type="dxa"/>
          </w:tcPr>
          <w:p w:rsidR="006C5705" w:rsidRDefault="006C5705" w:rsidP="00831E79">
            <w:pPr>
              <w:pStyle w:val="NormalWeb"/>
              <w:ind w:firstLine="0"/>
            </w:pPr>
            <w:r>
              <w:lastRenderedPageBreak/>
              <w:t>References to vocational/workforce training and human capital/ job creation</w:t>
            </w:r>
          </w:p>
        </w:tc>
        <w:tc>
          <w:tcPr>
            <w:tcW w:w="2980" w:type="dxa"/>
          </w:tcPr>
          <w:p w:rsidR="006C5705" w:rsidRDefault="006C5705" w:rsidP="00831E79">
            <w:pPr>
              <w:rPr>
                <w:rFonts w:ascii="Times New Roman" w:hAnsi="Times New Roman" w:cs="Times New Roman"/>
                <w:sz w:val="24"/>
                <w:szCs w:val="24"/>
              </w:rPr>
            </w:pPr>
            <w:r>
              <w:rPr>
                <w:rFonts w:ascii="Times New Roman" w:hAnsi="Times New Roman" w:cs="Times New Roman"/>
                <w:sz w:val="24"/>
                <w:szCs w:val="24"/>
              </w:rPr>
              <w:t>(1.A)1, (9.2-3)2, (11b)1</w:t>
            </w:r>
          </w:p>
          <w:p w:rsidR="006C5705" w:rsidRDefault="006C5705" w:rsidP="00831E79">
            <w:pPr>
              <w:rPr>
                <w:rFonts w:ascii="Times New Roman" w:hAnsi="Times New Roman" w:cs="Times New Roman"/>
                <w:sz w:val="24"/>
                <w:szCs w:val="24"/>
              </w:rPr>
            </w:pPr>
          </w:p>
          <w:p w:rsidR="006C5705" w:rsidRPr="00774EB8" w:rsidRDefault="006C5705" w:rsidP="00831E79">
            <w:pPr>
              <w:rPr>
                <w:rFonts w:ascii="Times New Roman" w:hAnsi="Times New Roman" w:cs="Times New Roman"/>
                <w:sz w:val="24"/>
                <w:szCs w:val="24"/>
              </w:rPr>
            </w:pPr>
            <w:r>
              <w:rPr>
                <w:rFonts w:ascii="Times New Roman" w:hAnsi="Times New Roman" w:cs="Times New Roman"/>
                <w:sz w:val="24"/>
                <w:szCs w:val="24"/>
              </w:rPr>
              <w:t>TC: 4</w:t>
            </w:r>
          </w:p>
        </w:tc>
        <w:tc>
          <w:tcPr>
            <w:tcW w:w="2846" w:type="dxa"/>
          </w:tcPr>
          <w:p w:rsidR="006C5705" w:rsidRPr="003816E0" w:rsidRDefault="006C5705" w:rsidP="00831E79">
            <w:pPr>
              <w:rPr>
                <w:rFonts w:ascii="Times New Roman" w:hAnsi="Times New Roman" w:cs="Times New Roman"/>
                <w:sz w:val="20"/>
                <w:szCs w:val="20"/>
              </w:rPr>
            </w:pPr>
            <w:r w:rsidRPr="003816E0">
              <w:rPr>
                <w:rFonts w:ascii="Times New Roman" w:hAnsi="Times New Roman" w:cs="Times New Roman"/>
                <w:sz w:val="20"/>
                <w:szCs w:val="20"/>
              </w:rPr>
              <w:t xml:space="preserve">There is only four references to job creation, but again, in conjunction with the other business terms, these four references help to further shape the public good in market terms. </w:t>
            </w:r>
          </w:p>
        </w:tc>
      </w:tr>
      <w:tr w:rsidR="006C5705" w:rsidTr="006C5705">
        <w:tc>
          <w:tcPr>
            <w:tcW w:w="3030" w:type="dxa"/>
          </w:tcPr>
          <w:p w:rsidR="006C5705" w:rsidRDefault="006C5705" w:rsidP="00181A25">
            <w:pPr>
              <w:pStyle w:val="NormalWeb"/>
              <w:ind w:firstLine="0"/>
            </w:pPr>
            <w:r>
              <w:t xml:space="preserve">References to accountability and performance </w:t>
            </w:r>
          </w:p>
        </w:tc>
        <w:tc>
          <w:tcPr>
            <w:tcW w:w="2980" w:type="dxa"/>
          </w:tcPr>
          <w:p w:rsidR="006C5705" w:rsidRDefault="006C5705" w:rsidP="00181A25">
            <w:pPr>
              <w:rPr>
                <w:rFonts w:ascii="Times New Roman" w:hAnsi="Times New Roman" w:cs="Times New Roman"/>
                <w:sz w:val="24"/>
                <w:szCs w:val="24"/>
              </w:rPr>
            </w:pPr>
            <w:r>
              <w:rPr>
                <w:rFonts w:ascii="Times New Roman" w:hAnsi="Times New Roman" w:cs="Times New Roman"/>
                <w:sz w:val="24"/>
                <w:szCs w:val="24"/>
              </w:rPr>
              <w:t>(1)1, (3.1)2, (3.1B)1, (3.4)7, (3.4C)1, (8.1-5)3, (9.1)1</w:t>
            </w:r>
          </w:p>
          <w:p w:rsidR="006C5705" w:rsidRDefault="006C5705" w:rsidP="00181A25">
            <w:pPr>
              <w:rPr>
                <w:rFonts w:ascii="Times New Roman" w:hAnsi="Times New Roman" w:cs="Times New Roman"/>
                <w:sz w:val="24"/>
                <w:szCs w:val="24"/>
              </w:rPr>
            </w:pPr>
          </w:p>
          <w:p w:rsidR="006C5705" w:rsidRPr="004C4C72" w:rsidRDefault="006C5705" w:rsidP="00181A25">
            <w:pPr>
              <w:rPr>
                <w:rFonts w:ascii="Times New Roman" w:hAnsi="Times New Roman" w:cs="Times New Roman"/>
                <w:sz w:val="24"/>
                <w:szCs w:val="24"/>
              </w:rPr>
            </w:pPr>
            <w:r>
              <w:rPr>
                <w:rFonts w:ascii="Times New Roman" w:hAnsi="Times New Roman" w:cs="Times New Roman"/>
                <w:sz w:val="24"/>
                <w:szCs w:val="24"/>
              </w:rPr>
              <w:t>TC: 16</w:t>
            </w:r>
          </w:p>
        </w:tc>
        <w:tc>
          <w:tcPr>
            <w:tcW w:w="2846" w:type="dxa"/>
          </w:tcPr>
          <w:p w:rsidR="006C5705" w:rsidRDefault="006C5705" w:rsidP="00181A25">
            <w:pPr>
              <w:rPr>
                <w:rFonts w:ascii="Times New Roman" w:hAnsi="Times New Roman" w:cs="Times New Roman"/>
                <w:sz w:val="20"/>
                <w:szCs w:val="20"/>
              </w:rPr>
            </w:pPr>
            <w:r>
              <w:rPr>
                <w:rFonts w:ascii="Times New Roman" w:hAnsi="Times New Roman" w:cs="Times New Roman"/>
                <w:sz w:val="20"/>
                <w:szCs w:val="20"/>
              </w:rPr>
              <w:t xml:space="preserve">Accountability and government oversight are the major planks of the TN PBF policy. There is a total of 35 references of accountability and government oversight. The entire TN community college system is overhauled and reorganized while the TN policymakers seek to hold four year HEI accountable to. There seems to be little trust between TN policymakers and TN HEI’s. Instead, the TN PBF is used to restructure higher education in TN. Of course the policymakers do call for the University of Tennessee Trustees to help inform PBF measures. Nonetheless, TN HEI’s become hierarchal entities, at the bottom of the chain. The vision of the public good can be constrained by lack of trust and hierarchy (Burke, 2005; </w:t>
            </w:r>
            <w:proofErr w:type="spellStart"/>
            <w:r>
              <w:rPr>
                <w:rFonts w:ascii="Times New Roman" w:hAnsi="Times New Roman" w:cs="Times New Roman"/>
                <w:sz w:val="20"/>
                <w:szCs w:val="20"/>
              </w:rPr>
              <w:t>Pusser</w:t>
            </w:r>
            <w:proofErr w:type="spellEnd"/>
            <w:r>
              <w:rPr>
                <w:rFonts w:ascii="Times New Roman" w:hAnsi="Times New Roman" w:cs="Times New Roman"/>
                <w:sz w:val="20"/>
                <w:szCs w:val="20"/>
              </w:rPr>
              <w:t xml:space="preserve">, 2006; X, 2006). It should also be noted that this act makes it so the commission has NO authority for recommending individual technology centers operating budgets. The 27 TN technology centers are operated under the TN Board of Regents and specifically focus on workforce training. </w:t>
            </w:r>
          </w:p>
          <w:p w:rsidR="006C5705" w:rsidRDefault="006C5705" w:rsidP="00181A25">
            <w:pPr>
              <w:rPr>
                <w:rFonts w:ascii="Times New Roman" w:hAnsi="Times New Roman" w:cs="Times New Roman"/>
                <w:sz w:val="20"/>
                <w:szCs w:val="20"/>
              </w:rPr>
            </w:pPr>
          </w:p>
          <w:p w:rsidR="006C5705" w:rsidRDefault="006C5705" w:rsidP="00181A25">
            <w:pPr>
              <w:rPr>
                <w:rFonts w:ascii="Times New Roman" w:hAnsi="Times New Roman" w:cs="Times New Roman"/>
                <w:sz w:val="20"/>
                <w:szCs w:val="20"/>
              </w:rPr>
            </w:pPr>
            <w:r>
              <w:rPr>
                <w:rFonts w:ascii="Times New Roman" w:hAnsi="Times New Roman" w:cs="Times New Roman"/>
                <w:sz w:val="20"/>
                <w:szCs w:val="20"/>
              </w:rPr>
              <w:t>HEI are complex entities charged with fostering the public good (</w:t>
            </w:r>
            <w:proofErr w:type="spellStart"/>
            <w:r>
              <w:rPr>
                <w:rFonts w:ascii="Times New Roman" w:hAnsi="Times New Roman" w:cs="Times New Roman"/>
                <w:sz w:val="20"/>
                <w:szCs w:val="20"/>
              </w:rPr>
              <w:t>Ramaly</w:t>
            </w:r>
            <w:proofErr w:type="spellEnd"/>
            <w:r>
              <w:rPr>
                <w:rFonts w:ascii="Times New Roman" w:hAnsi="Times New Roman" w:cs="Times New Roman"/>
                <w:sz w:val="20"/>
                <w:szCs w:val="20"/>
              </w:rPr>
              <w:t xml:space="preserve">, 2006). Their complexity defies the assumption of simple causation (X, 2006). TN policymakers assume that tighter government control will force HEI to conform to their (TN policymakers’) wishes. Policymakers cannot assume simple causality in complex organizations however, yet policymakers are paid to give </w:t>
            </w:r>
            <w:r>
              <w:rPr>
                <w:rFonts w:ascii="Times New Roman" w:hAnsi="Times New Roman" w:cs="Times New Roman"/>
                <w:sz w:val="20"/>
                <w:szCs w:val="20"/>
              </w:rPr>
              <w:lastRenderedPageBreak/>
              <w:t xml:space="preserve">simple answers to constituents (X, 2006). Yet, as </w:t>
            </w:r>
            <w:proofErr w:type="spellStart"/>
            <w:r>
              <w:rPr>
                <w:rFonts w:ascii="Times New Roman" w:hAnsi="Times New Roman" w:cs="Times New Roman"/>
                <w:sz w:val="20"/>
                <w:szCs w:val="20"/>
              </w:rPr>
              <w:t>Bohman</w:t>
            </w:r>
            <w:proofErr w:type="spellEnd"/>
            <w:r>
              <w:rPr>
                <w:rFonts w:ascii="Times New Roman" w:hAnsi="Times New Roman" w:cs="Times New Roman"/>
                <w:sz w:val="20"/>
                <w:szCs w:val="20"/>
              </w:rPr>
              <w:t xml:space="preserve"> and Deal (2008) argue, in complex organizations, turning on a </w:t>
            </w:r>
            <w:proofErr w:type="spellStart"/>
            <w:r>
              <w:rPr>
                <w:rFonts w:ascii="Times New Roman" w:hAnsi="Times New Roman" w:cs="Times New Roman"/>
                <w:sz w:val="20"/>
                <w:szCs w:val="20"/>
              </w:rPr>
              <w:t>lightswitch</w:t>
            </w:r>
            <w:proofErr w:type="spellEnd"/>
            <w:r>
              <w:rPr>
                <w:rFonts w:ascii="Times New Roman" w:hAnsi="Times New Roman" w:cs="Times New Roman"/>
                <w:sz w:val="20"/>
                <w:szCs w:val="20"/>
              </w:rPr>
              <w:t xml:space="preserve"> will not light the room, but make a toilet flush ten blocks away.  HEI are very complex and simple casual assumptions can impede their functioning and the creation of the public good. The absence of trust and tighter bureaucratic control will most likely pressure the entire the system of HEI in unforeseen ways (as well as predictable ways) and pressure the entire system, limiting its ability to contribute to the public good and contribute to KM (Cooper, 2009). </w:t>
            </w:r>
          </w:p>
          <w:p w:rsidR="006C5705" w:rsidRPr="00627A58" w:rsidRDefault="006C5705" w:rsidP="00181A25">
            <w:pPr>
              <w:rPr>
                <w:rFonts w:ascii="Times New Roman" w:hAnsi="Times New Roman" w:cs="Times New Roman"/>
                <w:sz w:val="20"/>
                <w:szCs w:val="20"/>
              </w:rPr>
            </w:pPr>
          </w:p>
        </w:tc>
      </w:tr>
      <w:tr w:rsidR="006C5705" w:rsidTr="006C5705">
        <w:tc>
          <w:tcPr>
            <w:tcW w:w="3030" w:type="dxa"/>
          </w:tcPr>
          <w:p w:rsidR="006C5705" w:rsidRDefault="006C5705" w:rsidP="007C5106">
            <w:pPr>
              <w:pStyle w:val="NormalWeb"/>
              <w:ind w:firstLine="0"/>
            </w:pPr>
            <w:r>
              <w:lastRenderedPageBreak/>
              <w:t>References to public-private partnerships and collaboration</w:t>
            </w:r>
          </w:p>
        </w:tc>
        <w:tc>
          <w:tcPr>
            <w:tcW w:w="2980" w:type="dxa"/>
          </w:tcPr>
          <w:p w:rsidR="006C5705" w:rsidRDefault="006C5705" w:rsidP="007C5106">
            <w:pPr>
              <w:rPr>
                <w:rFonts w:ascii="Times New Roman" w:hAnsi="Times New Roman" w:cs="Times New Roman"/>
                <w:sz w:val="24"/>
                <w:szCs w:val="24"/>
              </w:rPr>
            </w:pPr>
            <w:r>
              <w:rPr>
                <w:rFonts w:ascii="Times New Roman" w:hAnsi="Times New Roman" w:cs="Times New Roman"/>
                <w:sz w:val="24"/>
                <w:szCs w:val="24"/>
              </w:rPr>
              <w:t>(3.3)1, (8.4-5)2, (9.1-9ab)7, (11a-c)3</w:t>
            </w:r>
          </w:p>
          <w:p w:rsidR="006C5705" w:rsidRDefault="006C5705" w:rsidP="007C5106">
            <w:pPr>
              <w:rPr>
                <w:rFonts w:ascii="Times New Roman" w:hAnsi="Times New Roman" w:cs="Times New Roman"/>
                <w:sz w:val="24"/>
                <w:szCs w:val="24"/>
              </w:rPr>
            </w:pPr>
          </w:p>
          <w:p w:rsidR="006C5705" w:rsidRPr="00C73AC8" w:rsidRDefault="006C5705" w:rsidP="007C5106">
            <w:pPr>
              <w:rPr>
                <w:rFonts w:ascii="Times New Roman" w:hAnsi="Times New Roman" w:cs="Times New Roman"/>
                <w:sz w:val="24"/>
                <w:szCs w:val="24"/>
              </w:rPr>
            </w:pPr>
            <w:r>
              <w:rPr>
                <w:rFonts w:ascii="Times New Roman" w:hAnsi="Times New Roman" w:cs="Times New Roman"/>
                <w:sz w:val="24"/>
                <w:szCs w:val="24"/>
              </w:rPr>
              <w:t>TC: 13</w:t>
            </w:r>
          </w:p>
        </w:tc>
        <w:tc>
          <w:tcPr>
            <w:tcW w:w="2846" w:type="dxa"/>
          </w:tcPr>
          <w:p w:rsidR="006C5705" w:rsidRPr="00C573E2" w:rsidRDefault="006C5705" w:rsidP="007C5106">
            <w:pPr>
              <w:rPr>
                <w:rFonts w:ascii="Times New Roman" w:hAnsi="Times New Roman" w:cs="Times New Roman"/>
                <w:sz w:val="20"/>
                <w:szCs w:val="20"/>
              </w:rPr>
            </w:pPr>
            <w:r w:rsidRPr="00C573E2">
              <w:rPr>
                <w:rFonts w:ascii="Times New Roman" w:hAnsi="Times New Roman" w:cs="Times New Roman"/>
                <w:sz w:val="20"/>
                <w:szCs w:val="20"/>
              </w:rPr>
              <w:t xml:space="preserve">see </w:t>
            </w:r>
            <w:r>
              <w:rPr>
                <w:rFonts w:ascii="Times New Roman" w:hAnsi="Times New Roman" w:cs="Times New Roman"/>
                <w:sz w:val="20"/>
                <w:szCs w:val="20"/>
              </w:rPr>
              <w:t>STEM</w:t>
            </w:r>
            <w:r w:rsidRPr="00C573E2">
              <w:rPr>
                <w:rFonts w:ascii="Times New Roman" w:hAnsi="Times New Roman" w:cs="Times New Roman"/>
                <w:sz w:val="20"/>
                <w:szCs w:val="20"/>
              </w:rPr>
              <w:t xml:space="preserve"> </w:t>
            </w:r>
          </w:p>
        </w:tc>
      </w:tr>
      <w:tr w:rsidR="006C5705" w:rsidTr="006C5705">
        <w:tc>
          <w:tcPr>
            <w:tcW w:w="3030" w:type="dxa"/>
          </w:tcPr>
          <w:p w:rsidR="006C5705" w:rsidRDefault="006C5705" w:rsidP="008C3C50">
            <w:pPr>
              <w:pStyle w:val="NormalWeb"/>
              <w:ind w:firstLine="0"/>
            </w:pPr>
            <w:r>
              <w:t xml:space="preserve">References to tuition un-affordability  </w:t>
            </w:r>
          </w:p>
        </w:tc>
        <w:tc>
          <w:tcPr>
            <w:tcW w:w="2980" w:type="dxa"/>
          </w:tcPr>
          <w:p w:rsidR="006C5705" w:rsidRPr="001D06F2" w:rsidRDefault="006C5705" w:rsidP="008C3C50">
            <w:pPr>
              <w:rPr>
                <w:rFonts w:ascii="Times New Roman" w:hAnsi="Times New Roman" w:cs="Times New Roman"/>
                <w:sz w:val="24"/>
                <w:szCs w:val="24"/>
              </w:rPr>
            </w:pPr>
            <w:r w:rsidRPr="001D06F2">
              <w:rPr>
                <w:rFonts w:ascii="Times New Roman" w:hAnsi="Times New Roman" w:cs="Times New Roman"/>
                <w:sz w:val="24"/>
                <w:szCs w:val="24"/>
              </w:rPr>
              <w:t>(3.4A)1, (3B)2</w:t>
            </w:r>
          </w:p>
          <w:p w:rsidR="006C5705" w:rsidRPr="001D06F2" w:rsidRDefault="006C5705" w:rsidP="008C3C50">
            <w:pPr>
              <w:rPr>
                <w:rFonts w:ascii="Times New Roman" w:hAnsi="Times New Roman" w:cs="Times New Roman"/>
                <w:sz w:val="24"/>
                <w:szCs w:val="24"/>
              </w:rPr>
            </w:pPr>
          </w:p>
          <w:p w:rsidR="006C5705" w:rsidRDefault="006C5705" w:rsidP="008C3C50">
            <w:pPr>
              <w:rPr>
                <w:rFonts w:ascii="Times New Roman" w:hAnsi="Times New Roman" w:cs="Times New Roman"/>
                <w:b/>
                <w:sz w:val="24"/>
                <w:szCs w:val="24"/>
              </w:rPr>
            </w:pPr>
            <w:r w:rsidRPr="001D06F2">
              <w:rPr>
                <w:rFonts w:ascii="Times New Roman" w:hAnsi="Times New Roman" w:cs="Times New Roman"/>
                <w:sz w:val="24"/>
                <w:szCs w:val="24"/>
              </w:rPr>
              <w:t>TC: 3</w:t>
            </w:r>
          </w:p>
        </w:tc>
        <w:tc>
          <w:tcPr>
            <w:tcW w:w="2846" w:type="dxa"/>
          </w:tcPr>
          <w:p w:rsidR="006C5705" w:rsidRPr="00B363BE" w:rsidRDefault="006C5705" w:rsidP="008C3C50">
            <w:pPr>
              <w:rPr>
                <w:rFonts w:ascii="Times New Roman" w:hAnsi="Times New Roman" w:cs="Times New Roman"/>
                <w:sz w:val="20"/>
                <w:szCs w:val="20"/>
              </w:rPr>
            </w:pPr>
            <w:r>
              <w:rPr>
                <w:rFonts w:ascii="Times New Roman" w:hAnsi="Times New Roman" w:cs="Times New Roman"/>
                <w:sz w:val="20"/>
                <w:szCs w:val="20"/>
              </w:rPr>
              <w:t xml:space="preserve">There is recognition of tuition increases, but there is no mention of the political motivations behind tuition increases, which have been largely due to the continual slashing of public funds at the hands of neoliberals over the last four decades (Newfield, 2008; </w:t>
            </w:r>
            <w:proofErr w:type="spellStart"/>
            <w:r>
              <w:rPr>
                <w:rFonts w:ascii="Times New Roman" w:hAnsi="Times New Roman" w:cs="Times New Roman"/>
                <w:sz w:val="20"/>
                <w:szCs w:val="20"/>
              </w:rPr>
              <w:t>Zumeta</w:t>
            </w:r>
            <w:proofErr w:type="spellEnd"/>
            <w:r>
              <w:rPr>
                <w:rFonts w:ascii="Times New Roman" w:hAnsi="Times New Roman" w:cs="Times New Roman"/>
                <w:sz w:val="20"/>
                <w:szCs w:val="20"/>
              </w:rPr>
              <w:t>, 2011). Rather, tuition increases are treated as almost agentless actions which HEI must deal with effectively (</w:t>
            </w:r>
            <w:proofErr w:type="spellStart"/>
            <w:r>
              <w:rPr>
                <w:rFonts w:ascii="Times New Roman" w:hAnsi="Times New Roman" w:cs="Times New Roman"/>
                <w:sz w:val="20"/>
                <w:szCs w:val="20"/>
              </w:rPr>
              <w:t>Edmundson</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D’Orso</w:t>
            </w:r>
            <w:proofErr w:type="spellEnd"/>
            <w:r>
              <w:rPr>
                <w:rFonts w:ascii="Times New Roman" w:hAnsi="Times New Roman" w:cs="Times New Roman"/>
                <w:sz w:val="20"/>
                <w:szCs w:val="20"/>
              </w:rPr>
              <w:t xml:space="preserve">, 2007). </w:t>
            </w:r>
          </w:p>
        </w:tc>
      </w:tr>
      <w:tr w:rsidR="006C5705" w:rsidTr="006C5705">
        <w:tc>
          <w:tcPr>
            <w:tcW w:w="3030" w:type="dxa"/>
          </w:tcPr>
          <w:p w:rsidR="006C5705" w:rsidRDefault="006C5705" w:rsidP="00C179C7">
            <w:pPr>
              <w:pStyle w:val="NormalWeb"/>
              <w:ind w:firstLine="0"/>
            </w:pPr>
            <w:r>
              <w:t>References to competition</w:t>
            </w:r>
          </w:p>
        </w:tc>
        <w:tc>
          <w:tcPr>
            <w:tcW w:w="2980" w:type="dxa"/>
          </w:tcPr>
          <w:p w:rsidR="006C5705" w:rsidRDefault="006C5705" w:rsidP="00C179C7">
            <w:pPr>
              <w:rPr>
                <w:rFonts w:ascii="Times New Roman" w:hAnsi="Times New Roman" w:cs="Times New Roman"/>
                <w:sz w:val="24"/>
                <w:szCs w:val="24"/>
              </w:rPr>
            </w:pPr>
            <w:r>
              <w:rPr>
                <w:rFonts w:ascii="Times New Roman" w:hAnsi="Times New Roman" w:cs="Times New Roman"/>
                <w:sz w:val="24"/>
                <w:szCs w:val="24"/>
              </w:rPr>
              <w:t>(3.1C)1, (4.1A)1</w:t>
            </w:r>
          </w:p>
          <w:p w:rsidR="006C5705" w:rsidRDefault="006C5705" w:rsidP="00C179C7">
            <w:pPr>
              <w:rPr>
                <w:rFonts w:ascii="Times New Roman" w:hAnsi="Times New Roman" w:cs="Times New Roman"/>
                <w:sz w:val="24"/>
                <w:szCs w:val="24"/>
              </w:rPr>
            </w:pPr>
          </w:p>
          <w:p w:rsidR="006C5705" w:rsidRPr="005A5917" w:rsidRDefault="006C5705" w:rsidP="00C179C7">
            <w:pPr>
              <w:rPr>
                <w:rFonts w:ascii="Times New Roman" w:hAnsi="Times New Roman" w:cs="Times New Roman"/>
                <w:sz w:val="24"/>
                <w:szCs w:val="24"/>
              </w:rPr>
            </w:pPr>
            <w:r>
              <w:rPr>
                <w:rFonts w:ascii="Times New Roman" w:hAnsi="Times New Roman" w:cs="Times New Roman"/>
                <w:sz w:val="24"/>
                <w:szCs w:val="24"/>
              </w:rPr>
              <w:t>TC: 2</w:t>
            </w:r>
          </w:p>
        </w:tc>
        <w:tc>
          <w:tcPr>
            <w:tcW w:w="2846" w:type="dxa"/>
          </w:tcPr>
          <w:p w:rsidR="006C5705" w:rsidRPr="00627A58" w:rsidRDefault="006C5705" w:rsidP="00C179C7">
            <w:pPr>
              <w:rPr>
                <w:rFonts w:ascii="Times New Roman" w:hAnsi="Times New Roman" w:cs="Times New Roman"/>
                <w:sz w:val="20"/>
                <w:szCs w:val="20"/>
              </w:rPr>
            </w:pPr>
            <w:r>
              <w:rPr>
                <w:rFonts w:ascii="Times New Roman" w:hAnsi="Times New Roman" w:cs="Times New Roman"/>
                <w:sz w:val="20"/>
                <w:szCs w:val="20"/>
              </w:rPr>
              <w:t>See prestige</w:t>
            </w:r>
          </w:p>
        </w:tc>
      </w:tr>
      <w:tr w:rsidR="006C5705" w:rsidTr="006C5705">
        <w:tc>
          <w:tcPr>
            <w:tcW w:w="3030" w:type="dxa"/>
          </w:tcPr>
          <w:p w:rsidR="006C5705" w:rsidRDefault="006C5705" w:rsidP="00A0308C">
            <w:pPr>
              <w:pStyle w:val="NormalWeb"/>
              <w:ind w:firstLine="0"/>
            </w:pPr>
            <w:r>
              <w:t xml:space="preserve">References to knowledge based economy </w:t>
            </w:r>
          </w:p>
        </w:tc>
        <w:tc>
          <w:tcPr>
            <w:tcW w:w="2980" w:type="dxa"/>
          </w:tcPr>
          <w:p w:rsidR="006C5705" w:rsidRPr="00F679DD" w:rsidRDefault="006C5705" w:rsidP="00A0308C">
            <w:pPr>
              <w:rPr>
                <w:rFonts w:ascii="Times New Roman" w:hAnsi="Times New Roman" w:cs="Times New Roman"/>
                <w:sz w:val="20"/>
                <w:szCs w:val="20"/>
              </w:rPr>
            </w:pPr>
            <w:r w:rsidRPr="00F679DD">
              <w:rPr>
                <w:rFonts w:ascii="Times New Roman" w:hAnsi="Times New Roman" w:cs="Times New Roman"/>
                <w:sz w:val="20"/>
                <w:szCs w:val="20"/>
              </w:rPr>
              <w:t>N/A</w:t>
            </w:r>
          </w:p>
        </w:tc>
        <w:tc>
          <w:tcPr>
            <w:tcW w:w="2846" w:type="dxa"/>
          </w:tcPr>
          <w:p w:rsidR="006C5705" w:rsidRPr="00F679DD" w:rsidRDefault="006C5705" w:rsidP="00A0308C">
            <w:pPr>
              <w:rPr>
                <w:rFonts w:ascii="Times New Roman" w:hAnsi="Times New Roman" w:cs="Times New Roman"/>
                <w:sz w:val="20"/>
                <w:szCs w:val="20"/>
              </w:rPr>
            </w:pPr>
            <w:r w:rsidRPr="00F679DD">
              <w:rPr>
                <w:rFonts w:ascii="Times New Roman" w:hAnsi="Times New Roman" w:cs="Times New Roman"/>
                <w:sz w:val="20"/>
                <w:szCs w:val="20"/>
              </w:rPr>
              <w:t>N/A</w:t>
            </w:r>
          </w:p>
        </w:tc>
      </w:tr>
      <w:tr w:rsidR="006C5705" w:rsidTr="006C5705">
        <w:tc>
          <w:tcPr>
            <w:tcW w:w="3030" w:type="dxa"/>
          </w:tcPr>
          <w:p w:rsidR="006C5705" w:rsidRDefault="006C5705" w:rsidP="00E2221F">
            <w:pPr>
              <w:pStyle w:val="NormalWeb"/>
              <w:ind w:firstLine="0"/>
            </w:pPr>
            <w:r>
              <w:t xml:space="preserve">References to Science Technology Engineering and Mathematics </w:t>
            </w:r>
          </w:p>
        </w:tc>
        <w:tc>
          <w:tcPr>
            <w:tcW w:w="2980" w:type="dxa"/>
          </w:tcPr>
          <w:p w:rsidR="006C5705" w:rsidRDefault="006C5705">
            <w:pPr>
              <w:rPr>
                <w:rFonts w:ascii="Times New Roman" w:hAnsi="Times New Roman" w:cs="Times New Roman"/>
                <w:sz w:val="24"/>
                <w:szCs w:val="24"/>
              </w:rPr>
            </w:pPr>
            <w:r>
              <w:rPr>
                <w:rFonts w:ascii="Times New Roman" w:hAnsi="Times New Roman" w:cs="Times New Roman"/>
                <w:sz w:val="24"/>
                <w:szCs w:val="24"/>
              </w:rPr>
              <w:t xml:space="preserve">(9.1-9ab)9, (10)1, </w:t>
            </w:r>
          </w:p>
          <w:p w:rsidR="006C5705" w:rsidRDefault="006C5705">
            <w:pPr>
              <w:rPr>
                <w:rFonts w:ascii="Times New Roman" w:hAnsi="Times New Roman" w:cs="Times New Roman"/>
                <w:sz w:val="24"/>
                <w:szCs w:val="24"/>
              </w:rPr>
            </w:pPr>
          </w:p>
          <w:p w:rsidR="006C5705" w:rsidRPr="00774EB8" w:rsidRDefault="006C5705">
            <w:pPr>
              <w:rPr>
                <w:rFonts w:ascii="Times New Roman" w:hAnsi="Times New Roman" w:cs="Times New Roman"/>
                <w:sz w:val="24"/>
                <w:szCs w:val="24"/>
              </w:rPr>
            </w:pPr>
            <w:r>
              <w:rPr>
                <w:rFonts w:ascii="Times New Roman" w:hAnsi="Times New Roman" w:cs="Times New Roman"/>
                <w:sz w:val="24"/>
                <w:szCs w:val="24"/>
              </w:rPr>
              <w:t>TC: 10</w:t>
            </w:r>
          </w:p>
        </w:tc>
        <w:tc>
          <w:tcPr>
            <w:tcW w:w="2846" w:type="dxa"/>
          </w:tcPr>
          <w:p w:rsidR="006C5705" w:rsidRPr="003816E0" w:rsidRDefault="006C5705" w:rsidP="0027207C">
            <w:pPr>
              <w:rPr>
                <w:rFonts w:ascii="Times New Roman" w:hAnsi="Times New Roman" w:cs="Times New Roman"/>
                <w:sz w:val="20"/>
                <w:szCs w:val="20"/>
              </w:rPr>
            </w:pPr>
            <w:r w:rsidRPr="003816E0">
              <w:rPr>
                <w:rFonts w:ascii="Times New Roman" w:hAnsi="Times New Roman" w:cs="Times New Roman"/>
                <w:sz w:val="20"/>
                <w:szCs w:val="20"/>
              </w:rPr>
              <w:t xml:space="preserve">There is a special relationship between STEM, technology and a private partnership with Oak Ridge National Laboratory (ORNL).  ORNL is a laboratory run by the US Department of Energy. Yet, the mission and purpose of ORNL is to promote </w:t>
            </w:r>
            <w:r>
              <w:rPr>
                <w:rFonts w:ascii="Times New Roman" w:hAnsi="Times New Roman" w:cs="Times New Roman"/>
                <w:sz w:val="20"/>
                <w:szCs w:val="20"/>
              </w:rPr>
              <w:t xml:space="preserve">the commercialization of goods in the private sector. Thus, as </w:t>
            </w:r>
            <w:proofErr w:type="spellStart"/>
            <w:r>
              <w:rPr>
                <w:rFonts w:ascii="Times New Roman" w:hAnsi="Times New Roman" w:cs="Times New Roman"/>
                <w:sz w:val="20"/>
                <w:szCs w:val="20"/>
              </w:rPr>
              <w:lastRenderedPageBreak/>
              <w:t>Marginson</w:t>
            </w:r>
            <w:proofErr w:type="spellEnd"/>
            <w:r>
              <w:rPr>
                <w:rFonts w:ascii="Times New Roman" w:hAnsi="Times New Roman" w:cs="Times New Roman"/>
                <w:sz w:val="20"/>
                <w:szCs w:val="20"/>
              </w:rPr>
              <w:t xml:space="preserve"> (2007) notes, the dichotomy between public and private is blurry. Further, Slaughter and Rhoades (2004) argue that neoliberalism conflates the boundaries between the public and private spheres.  This conflation of public and private purpose is illustrated by TN policymakers. Promotion of STEM disciplines and collaboration with ORNL, a public laboratory, is meant to spurn private sector growth. The public good, in line with business purposes of TN policymakers and outcomes of TN PBF is, at least partially, to promote private interests.  The policy allows for ORNL employees oversight of graduate students. As Slaughter and Rhoades (2004) and Washburn (2005) note, this could lead to a conflict of interest especially if ORNAL is pursuing for-profit ventures which collide with UT’s public mission. Again, this is a further example of the conflation of public and private interests. </w:t>
            </w:r>
          </w:p>
        </w:tc>
      </w:tr>
      <w:tr w:rsidR="006C5705" w:rsidTr="006C5705">
        <w:tc>
          <w:tcPr>
            <w:tcW w:w="3030" w:type="dxa"/>
          </w:tcPr>
          <w:p w:rsidR="006C5705" w:rsidRDefault="006C5705" w:rsidP="008B08F8">
            <w:pPr>
              <w:pStyle w:val="NormalWeb"/>
              <w:ind w:firstLine="0"/>
            </w:pPr>
            <w:r>
              <w:lastRenderedPageBreak/>
              <w:t xml:space="preserve">References to online instruction </w:t>
            </w:r>
          </w:p>
        </w:tc>
        <w:tc>
          <w:tcPr>
            <w:tcW w:w="2980" w:type="dxa"/>
          </w:tcPr>
          <w:p w:rsidR="006C5705" w:rsidRPr="00F679DD" w:rsidRDefault="006C5705" w:rsidP="008B08F8">
            <w:pPr>
              <w:rPr>
                <w:rFonts w:ascii="Times New Roman" w:hAnsi="Times New Roman" w:cs="Times New Roman"/>
                <w:sz w:val="20"/>
                <w:szCs w:val="20"/>
              </w:rPr>
            </w:pPr>
            <w:r w:rsidRPr="00F679DD">
              <w:rPr>
                <w:rFonts w:ascii="Times New Roman" w:hAnsi="Times New Roman" w:cs="Times New Roman"/>
                <w:sz w:val="20"/>
                <w:szCs w:val="20"/>
              </w:rPr>
              <w:t>N/A</w:t>
            </w:r>
          </w:p>
        </w:tc>
        <w:tc>
          <w:tcPr>
            <w:tcW w:w="2846" w:type="dxa"/>
          </w:tcPr>
          <w:p w:rsidR="006C5705" w:rsidRPr="00F679DD" w:rsidRDefault="006C5705" w:rsidP="008B08F8">
            <w:pPr>
              <w:rPr>
                <w:rFonts w:ascii="Times New Roman" w:hAnsi="Times New Roman" w:cs="Times New Roman"/>
                <w:sz w:val="20"/>
                <w:szCs w:val="20"/>
              </w:rPr>
            </w:pPr>
            <w:r w:rsidRPr="00F679DD">
              <w:rPr>
                <w:rFonts w:ascii="Times New Roman" w:hAnsi="Times New Roman" w:cs="Times New Roman"/>
                <w:sz w:val="20"/>
                <w:szCs w:val="20"/>
              </w:rPr>
              <w:t>N/A</w:t>
            </w:r>
          </w:p>
        </w:tc>
      </w:tr>
      <w:tr w:rsidR="006C5705" w:rsidTr="006C5705">
        <w:tc>
          <w:tcPr>
            <w:tcW w:w="3030" w:type="dxa"/>
          </w:tcPr>
          <w:p w:rsidR="006C5705" w:rsidRDefault="006C5705" w:rsidP="00B50214">
            <w:pPr>
              <w:pStyle w:val="NormalWeb"/>
              <w:ind w:firstLine="0"/>
            </w:pPr>
            <w:r>
              <w:t xml:space="preserve">Elevation of status/prestige </w:t>
            </w:r>
          </w:p>
        </w:tc>
        <w:tc>
          <w:tcPr>
            <w:tcW w:w="2980" w:type="dxa"/>
          </w:tcPr>
          <w:p w:rsidR="006C5705" w:rsidRDefault="006C5705" w:rsidP="00B50214">
            <w:pPr>
              <w:rPr>
                <w:rFonts w:ascii="Times New Roman" w:hAnsi="Times New Roman" w:cs="Times New Roman"/>
                <w:sz w:val="24"/>
                <w:szCs w:val="24"/>
              </w:rPr>
            </w:pPr>
            <w:r>
              <w:rPr>
                <w:rFonts w:ascii="Times New Roman" w:hAnsi="Times New Roman" w:cs="Times New Roman"/>
                <w:sz w:val="24"/>
                <w:szCs w:val="24"/>
              </w:rPr>
              <w:t>(9.5)1</w:t>
            </w:r>
          </w:p>
          <w:p w:rsidR="006C5705" w:rsidRDefault="006C5705" w:rsidP="00B50214">
            <w:pPr>
              <w:rPr>
                <w:rFonts w:ascii="Times New Roman" w:hAnsi="Times New Roman" w:cs="Times New Roman"/>
                <w:sz w:val="24"/>
                <w:szCs w:val="24"/>
              </w:rPr>
            </w:pPr>
          </w:p>
          <w:p w:rsidR="006C5705" w:rsidRPr="00733FAE" w:rsidRDefault="006C5705" w:rsidP="00B50214">
            <w:pPr>
              <w:rPr>
                <w:rFonts w:ascii="Times New Roman" w:hAnsi="Times New Roman" w:cs="Times New Roman"/>
                <w:sz w:val="24"/>
                <w:szCs w:val="24"/>
              </w:rPr>
            </w:pPr>
            <w:r>
              <w:rPr>
                <w:rFonts w:ascii="Times New Roman" w:hAnsi="Times New Roman" w:cs="Times New Roman"/>
                <w:sz w:val="24"/>
                <w:szCs w:val="24"/>
              </w:rPr>
              <w:t>TC:1</w:t>
            </w:r>
          </w:p>
        </w:tc>
        <w:tc>
          <w:tcPr>
            <w:tcW w:w="2846" w:type="dxa"/>
          </w:tcPr>
          <w:p w:rsidR="006C5705" w:rsidRPr="007337B6" w:rsidRDefault="006C5705" w:rsidP="00B50214">
            <w:pPr>
              <w:rPr>
                <w:rFonts w:ascii="Times New Roman" w:hAnsi="Times New Roman" w:cs="Times New Roman"/>
                <w:sz w:val="20"/>
                <w:szCs w:val="20"/>
              </w:rPr>
            </w:pPr>
            <w:r>
              <w:rPr>
                <w:rFonts w:ascii="Times New Roman" w:hAnsi="Times New Roman" w:cs="Times New Roman"/>
                <w:sz w:val="20"/>
                <w:szCs w:val="20"/>
              </w:rPr>
              <w:t>While there is only one reference to prestige, and only two to competition, these references are important because another plank of neoliberalism is that universities be competitive and compete for students and resources (</w:t>
            </w:r>
            <w:proofErr w:type="spellStart"/>
            <w:r>
              <w:rPr>
                <w:rFonts w:ascii="Times New Roman" w:hAnsi="Times New Roman" w:cs="Times New Roman"/>
                <w:sz w:val="20"/>
                <w:szCs w:val="20"/>
              </w:rPr>
              <w:t>Marginson</w:t>
            </w:r>
            <w:proofErr w:type="spellEnd"/>
            <w:r>
              <w:rPr>
                <w:rFonts w:ascii="Times New Roman" w:hAnsi="Times New Roman" w:cs="Times New Roman"/>
                <w:sz w:val="20"/>
                <w:szCs w:val="20"/>
              </w:rPr>
              <w:t>, 2007; Rhoads &amp; Torres, 2006; Slaughter &amp; Rhoades, 2004). This competition is sustained and enhanced by the various college ranking systems (</w:t>
            </w:r>
            <w:proofErr w:type="spellStart"/>
            <w:r>
              <w:rPr>
                <w:rFonts w:ascii="Times New Roman" w:hAnsi="Times New Roman" w:cs="Times New Roman"/>
                <w:sz w:val="20"/>
                <w:szCs w:val="20"/>
              </w:rPr>
              <w:t>Marginson</w:t>
            </w:r>
            <w:proofErr w:type="spellEnd"/>
            <w:r>
              <w:rPr>
                <w:rFonts w:ascii="Times New Roman" w:hAnsi="Times New Roman" w:cs="Times New Roman"/>
                <w:sz w:val="20"/>
                <w:szCs w:val="20"/>
              </w:rPr>
              <w:t xml:space="preserve">, 2007). The desire for the University of TN to be a top tier university is indicative of this competitive strand of neoliberalism. Competition and rankings structure the public good as a market, where competition (never on equal </w:t>
            </w:r>
            <w:r>
              <w:rPr>
                <w:rFonts w:ascii="Times New Roman" w:hAnsi="Times New Roman" w:cs="Times New Roman"/>
                <w:sz w:val="20"/>
                <w:szCs w:val="20"/>
              </w:rPr>
              <w:lastRenderedPageBreak/>
              <w:t xml:space="preserve">terms) determines status and position. </w:t>
            </w:r>
          </w:p>
        </w:tc>
      </w:tr>
      <w:tr w:rsidR="006C5705" w:rsidTr="006C5705">
        <w:tc>
          <w:tcPr>
            <w:tcW w:w="3030" w:type="dxa"/>
          </w:tcPr>
          <w:p w:rsidR="006C5705" w:rsidRDefault="006C5705" w:rsidP="000A49B2">
            <w:pPr>
              <w:pStyle w:val="NormalWeb"/>
              <w:ind w:firstLine="0"/>
            </w:pPr>
            <w:r>
              <w:lastRenderedPageBreak/>
              <w:t xml:space="preserve">References to Government Oversight </w:t>
            </w:r>
          </w:p>
        </w:tc>
        <w:tc>
          <w:tcPr>
            <w:tcW w:w="2980" w:type="dxa"/>
          </w:tcPr>
          <w:p w:rsidR="006C5705" w:rsidRDefault="006C5705" w:rsidP="000A49B2">
            <w:pPr>
              <w:rPr>
                <w:rFonts w:ascii="Times New Roman" w:hAnsi="Times New Roman" w:cs="Times New Roman"/>
                <w:sz w:val="24"/>
                <w:szCs w:val="24"/>
              </w:rPr>
            </w:pPr>
            <w:r>
              <w:rPr>
                <w:rFonts w:ascii="Times New Roman" w:hAnsi="Times New Roman" w:cs="Times New Roman"/>
                <w:sz w:val="24"/>
                <w:szCs w:val="24"/>
              </w:rPr>
              <w:t>(3)2, (3.2)1, (3.4C-D)2, (4)1, (4Ai-ii)3, (4.2)3, (4.3)1, (4.3f)1, (5)1, (6)1, (7)1 (8.c1-5)6, (11c)1, (12)1, (13)1</w:t>
            </w:r>
          </w:p>
          <w:p w:rsidR="006C5705" w:rsidRDefault="006C5705" w:rsidP="000A49B2">
            <w:pPr>
              <w:rPr>
                <w:rFonts w:ascii="Times New Roman" w:hAnsi="Times New Roman" w:cs="Times New Roman"/>
                <w:sz w:val="24"/>
                <w:szCs w:val="24"/>
              </w:rPr>
            </w:pPr>
          </w:p>
          <w:p w:rsidR="006C5705" w:rsidRPr="00C73AC8" w:rsidRDefault="006C5705" w:rsidP="000A49B2">
            <w:pPr>
              <w:rPr>
                <w:rFonts w:ascii="Times New Roman" w:hAnsi="Times New Roman" w:cs="Times New Roman"/>
                <w:sz w:val="24"/>
                <w:szCs w:val="24"/>
              </w:rPr>
            </w:pPr>
            <w:r>
              <w:rPr>
                <w:rFonts w:ascii="Times New Roman" w:hAnsi="Times New Roman" w:cs="Times New Roman"/>
                <w:sz w:val="24"/>
                <w:szCs w:val="24"/>
              </w:rPr>
              <w:t>TC:25</w:t>
            </w:r>
          </w:p>
        </w:tc>
        <w:tc>
          <w:tcPr>
            <w:tcW w:w="2846" w:type="dxa"/>
          </w:tcPr>
          <w:p w:rsidR="006C5705" w:rsidRPr="007337B6" w:rsidRDefault="006C5705" w:rsidP="000A49B2">
            <w:pPr>
              <w:rPr>
                <w:rFonts w:ascii="Times New Roman" w:hAnsi="Times New Roman" w:cs="Times New Roman"/>
                <w:sz w:val="20"/>
                <w:szCs w:val="20"/>
              </w:rPr>
            </w:pPr>
            <w:r w:rsidRPr="007337B6">
              <w:rPr>
                <w:rFonts w:ascii="Times New Roman" w:hAnsi="Times New Roman" w:cs="Times New Roman"/>
                <w:sz w:val="20"/>
                <w:szCs w:val="20"/>
              </w:rPr>
              <w:t xml:space="preserve">See accountability </w:t>
            </w:r>
          </w:p>
        </w:tc>
      </w:tr>
    </w:tbl>
    <w:p w:rsidR="008205FD" w:rsidRDefault="008205FD">
      <w:pPr>
        <w:rPr>
          <w:rFonts w:ascii="Times New Roman" w:hAnsi="Times New Roman" w:cs="Times New Roman"/>
          <w:b/>
          <w:sz w:val="24"/>
          <w:szCs w:val="24"/>
        </w:rPr>
      </w:pPr>
    </w:p>
    <w:p w:rsidR="008205FD" w:rsidRPr="008205FD" w:rsidRDefault="008205FD">
      <w:pPr>
        <w:rPr>
          <w:rFonts w:ascii="Times New Roman" w:hAnsi="Times New Roman" w:cs="Times New Roman"/>
          <w:sz w:val="24"/>
          <w:szCs w:val="24"/>
        </w:rPr>
      </w:pPr>
      <w:r w:rsidRPr="008205FD">
        <w:rPr>
          <w:rFonts w:ascii="Times New Roman" w:hAnsi="Times New Roman" w:cs="Times New Roman"/>
          <w:sz w:val="24"/>
          <w:szCs w:val="24"/>
        </w:rPr>
        <w:t xml:space="preserve">Table </w:t>
      </w:r>
      <w:r w:rsidR="00B41180">
        <w:rPr>
          <w:rFonts w:ascii="Times New Roman" w:hAnsi="Times New Roman" w:cs="Times New Roman"/>
          <w:sz w:val="24"/>
          <w:szCs w:val="24"/>
        </w:rPr>
        <w:t>4</w:t>
      </w:r>
      <w:r w:rsidR="005A42D9">
        <w:rPr>
          <w:rFonts w:ascii="Times New Roman" w:hAnsi="Times New Roman" w:cs="Times New Roman"/>
          <w:sz w:val="24"/>
          <w:szCs w:val="24"/>
        </w:rPr>
        <w:t>B</w:t>
      </w:r>
      <w:r w:rsidRPr="008205FD">
        <w:rPr>
          <w:rFonts w:ascii="Times New Roman" w:hAnsi="Times New Roman" w:cs="Times New Roman"/>
          <w:sz w:val="24"/>
          <w:szCs w:val="24"/>
        </w:rPr>
        <w:t xml:space="preserve">. Visual Representation of </w:t>
      </w:r>
      <w:r w:rsidR="004C124C">
        <w:rPr>
          <w:rFonts w:ascii="Times New Roman" w:hAnsi="Times New Roman" w:cs="Times New Roman"/>
          <w:sz w:val="24"/>
          <w:szCs w:val="24"/>
        </w:rPr>
        <w:t>Hegemony in TN Policy.</w:t>
      </w:r>
    </w:p>
    <w:p w:rsidR="000E4EA7" w:rsidRDefault="008205FD">
      <w:pPr>
        <w:rPr>
          <w:rFonts w:ascii="Times New Roman" w:hAnsi="Times New Roman" w:cs="Times New Roman"/>
          <w:b/>
          <w:sz w:val="24"/>
          <w:szCs w:val="24"/>
        </w:rPr>
      </w:pPr>
      <w:r>
        <w:rPr>
          <w:noProof/>
        </w:rPr>
        <w:drawing>
          <wp:inline distT="0" distB="0" distL="0" distR="0" wp14:anchorId="3A5B3FCE" wp14:editId="59AB82D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4EA7" w:rsidRDefault="000E4EA7">
      <w:pPr>
        <w:rPr>
          <w:rFonts w:ascii="Times New Roman" w:hAnsi="Times New Roman" w:cs="Times New Roman"/>
          <w:b/>
          <w:sz w:val="24"/>
          <w:szCs w:val="24"/>
        </w:rPr>
      </w:pPr>
    </w:p>
    <w:p w:rsidR="001D06F2" w:rsidRPr="000E4EA7" w:rsidRDefault="00B41180">
      <w:pPr>
        <w:rPr>
          <w:rFonts w:ascii="Times New Roman" w:hAnsi="Times New Roman" w:cs="Times New Roman"/>
          <w:sz w:val="24"/>
          <w:szCs w:val="24"/>
        </w:rPr>
      </w:pPr>
      <w:r>
        <w:rPr>
          <w:rFonts w:ascii="Times New Roman" w:hAnsi="Times New Roman" w:cs="Times New Roman"/>
          <w:sz w:val="24"/>
          <w:szCs w:val="24"/>
        </w:rPr>
        <w:t>Table 5</w:t>
      </w:r>
      <w:r w:rsidR="005A42D9">
        <w:rPr>
          <w:rFonts w:ascii="Times New Roman" w:hAnsi="Times New Roman" w:cs="Times New Roman"/>
          <w:sz w:val="24"/>
          <w:szCs w:val="24"/>
        </w:rPr>
        <w:t>B</w:t>
      </w:r>
      <w:r w:rsidR="000E4EA7" w:rsidRPr="000E4EA7">
        <w:rPr>
          <w:rFonts w:ascii="Times New Roman" w:hAnsi="Times New Roman" w:cs="Times New Roman"/>
          <w:sz w:val="24"/>
          <w:szCs w:val="24"/>
        </w:rPr>
        <w:t>.</w:t>
      </w:r>
      <w:r w:rsidR="001D06F2" w:rsidRPr="000E4EA7">
        <w:rPr>
          <w:rFonts w:ascii="Times New Roman" w:hAnsi="Times New Roman" w:cs="Times New Roman"/>
          <w:sz w:val="24"/>
          <w:szCs w:val="24"/>
        </w:rPr>
        <w:t xml:space="preserve"> Private and non market externality chart</w:t>
      </w:r>
    </w:p>
    <w:tbl>
      <w:tblPr>
        <w:tblStyle w:val="TableGrid"/>
        <w:tblW w:w="0" w:type="auto"/>
        <w:tblLook w:val="04A0" w:firstRow="1" w:lastRow="0" w:firstColumn="1" w:lastColumn="0" w:noHBand="0" w:noVBand="1"/>
      </w:tblPr>
      <w:tblGrid>
        <w:gridCol w:w="3059"/>
        <w:gridCol w:w="2737"/>
        <w:gridCol w:w="3060"/>
      </w:tblGrid>
      <w:tr w:rsidR="001D06F2" w:rsidTr="00A2608F">
        <w:tc>
          <w:tcPr>
            <w:tcW w:w="3192" w:type="dxa"/>
          </w:tcPr>
          <w:p w:rsidR="001D06F2" w:rsidRPr="00A90184" w:rsidRDefault="001D06F2" w:rsidP="00E2221F">
            <w:pPr>
              <w:pStyle w:val="NormalWeb"/>
              <w:ind w:firstLine="0"/>
              <w:rPr>
                <w:b/>
              </w:rPr>
            </w:pPr>
            <w:r>
              <w:rPr>
                <w:b/>
              </w:rPr>
              <w:t xml:space="preserve">Private </w:t>
            </w:r>
            <w:r w:rsidRPr="00A90184">
              <w:rPr>
                <w:b/>
              </w:rPr>
              <w:t>Non-market</w:t>
            </w:r>
            <w:r>
              <w:rPr>
                <w:b/>
              </w:rPr>
              <w:t xml:space="preserve"> benefits and externalities</w:t>
            </w:r>
          </w:p>
        </w:tc>
        <w:tc>
          <w:tcPr>
            <w:tcW w:w="2946" w:type="dxa"/>
          </w:tcPr>
          <w:p w:rsidR="001D06F2" w:rsidRPr="00A90184" w:rsidRDefault="001D06F2" w:rsidP="00E2221F">
            <w:pPr>
              <w:pStyle w:val="NormalWeb"/>
              <w:ind w:firstLine="0"/>
              <w:rPr>
                <w:b/>
              </w:rPr>
            </w:pPr>
            <w:r w:rsidRPr="00A90184">
              <w:rPr>
                <w:b/>
              </w:rPr>
              <w:t>Frequency Count</w:t>
            </w:r>
            <w:r>
              <w:rPr>
                <w:b/>
              </w:rPr>
              <w:t xml:space="preserve">/Location </w:t>
            </w:r>
            <w:r w:rsidRPr="00A90184">
              <w:rPr>
                <w:b/>
              </w:rPr>
              <w:t xml:space="preserve">   </w:t>
            </w:r>
          </w:p>
        </w:tc>
        <w:tc>
          <w:tcPr>
            <w:tcW w:w="3438" w:type="dxa"/>
          </w:tcPr>
          <w:p w:rsidR="001D06F2" w:rsidRPr="00A90184" w:rsidRDefault="001D06F2" w:rsidP="00E2221F">
            <w:pPr>
              <w:pStyle w:val="NormalWeb"/>
              <w:ind w:firstLine="0"/>
              <w:rPr>
                <w:b/>
              </w:rPr>
            </w:pPr>
            <w:r w:rsidRPr="00A90184">
              <w:rPr>
                <w:b/>
              </w:rPr>
              <w:t xml:space="preserve">How the public good is </w:t>
            </w:r>
            <w:r>
              <w:rPr>
                <w:b/>
              </w:rPr>
              <w:t>shaped by the term(s)</w:t>
            </w:r>
          </w:p>
        </w:tc>
      </w:tr>
      <w:tr w:rsidR="00C46BA0" w:rsidTr="00A2608F">
        <w:tc>
          <w:tcPr>
            <w:tcW w:w="3192" w:type="dxa"/>
          </w:tcPr>
          <w:p w:rsidR="00C46BA0" w:rsidRDefault="00C46BA0" w:rsidP="00C0266C">
            <w:pPr>
              <w:pStyle w:val="NormalWeb"/>
              <w:ind w:firstLine="0"/>
            </w:pPr>
            <w:r>
              <w:t xml:space="preserve">References to health/life expectancy </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(11a-c)8</w:t>
            </w:r>
          </w:p>
          <w:p w:rsidR="00C46BA0" w:rsidRDefault="00C46BA0">
            <w:pPr>
              <w:rPr>
                <w:rFonts w:ascii="Times New Roman" w:hAnsi="Times New Roman" w:cs="Times New Roman"/>
                <w:sz w:val="24"/>
                <w:szCs w:val="24"/>
              </w:rPr>
            </w:pPr>
          </w:p>
          <w:p w:rsidR="00C46BA0" w:rsidRDefault="00C46BA0">
            <w:pPr>
              <w:rPr>
                <w:rFonts w:ascii="Times New Roman" w:hAnsi="Times New Roman" w:cs="Times New Roman"/>
                <w:sz w:val="24"/>
                <w:szCs w:val="24"/>
              </w:rPr>
            </w:pPr>
            <w:r>
              <w:rPr>
                <w:rFonts w:ascii="Times New Roman" w:hAnsi="Times New Roman" w:cs="Times New Roman"/>
                <w:sz w:val="24"/>
                <w:szCs w:val="24"/>
              </w:rPr>
              <w:t>TC: 8</w:t>
            </w:r>
          </w:p>
        </w:tc>
        <w:tc>
          <w:tcPr>
            <w:tcW w:w="3438" w:type="dxa"/>
          </w:tcPr>
          <w:p w:rsidR="00C46BA0" w:rsidRPr="00A2608F" w:rsidRDefault="00C46BA0" w:rsidP="00482CEC">
            <w:pPr>
              <w:rPr>
                <w:rFonts w:ascii="Times New Roman" w:hAnsi="Times New Roman" w:cs="Times New Roman"/>
                <w:sz w:val="20"/>
                <w:szCs w:val="20"/>
              </w:rPr>
            </w:pPr>
            <w:r w:rsidRPr="00A2608F">
              <w:rPr>
                <w:rFonts w:ascii="Times New Roman" w:hAnsi="Times New Roman" w:cs="Times New Roman"/>
                <w:sz w:val="20"/>
                <w:szCs w:val="20"/>
              </w:rPr>
              <w:t>TN policymakers have dedicated an entire section to promoting health</w:t>
            </w:r>
            <w:r>
              <w:rPr>
                <w:rFonts w:ascii="Times New Roman" w:hAnsi="Times New Roman" w:cs="Times New Roman"/>
                <w:sz w:val="20"/>
                <w:szCs w:val="20"/>
              </w:rPr>
              <w:t xml:space="preserve"> concerns</w:t>
            </w:r>
            <w:r w:rsidRPr="00A2608F">
              <w:rPr>
                <w:rFonts w:ascii="Times New Roman" w:hAnsi="Times New Roman" w:cs="Times New Roman"/>
                <w:sz w:val="20"/>
                <w:szCs w:val="20"/>
              </w:rPr>
              <w:t>. In section 11, the policymakers urge for public health research as well as create a research consortium with St. Jude’s Children Hospital. As discussed earlier, there is a conflation of public and private</w:t>
            </w:r>
            <w:r>
              <w:rPr>
                <w:rFonts w:ascii="Times New Roman" w:hAnsi="Times New Roman" w:cs="Times New Roman"/>
                <w:sz w:val="20"/>
                <w:szCs w:val="20"/>
              </w:rPr>
              <w:t xml:space="preserve"> entities, but there is some recognition (two references) of purely public health concerns. Public health and well being are integral parts to any notion of </w:t>
            </w:r>
            <w:r>
              <w:rPr>
                <w:rFonts w:ascii="Times New Roman" w:hAnsi="Times New Roman" w:cs="Times New Roman"/>
                <w:sz w:val="20"/>
                <w:szCs w:val="20"/>
              </w:rPr>
              <w:lastRenderedPageBreak/>
              <w:t>public good (</w:t>
            </w:r>
            <w:proofErr w:type="spellStart"/>
            <w:r>
              <w:rPr>
                <w:rFonts w:ascii="Times New Roman" w:hAnsi="Times New Roman" w:cs="Times New Roman"/>
                <w:sz w:val="20"/>
                <w:szCs w:val="20"/>
              </w:rPr>
              <w:t>Kaul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Inge</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Grunberg</w:t>
            </w:r>
            <w:proofErr w:type="spellEnd"/>
            <w:r>
              <w:rPr>
                <w:rFonts w:ascii="Times New Roman" w:hAnsi="Times New Roman" w:cs="Times New Roman"/>
                <w:sz w:val="20"/>
                <w:szCs w:val="20"/>
              </w:rPr>
              <w:t>, 1999</w:t>
            </w:r>
            <w:r w:rsidR="00002A25">
              <w:rPr>
                <w:rFonts w:ascii="Times New Roman" w:hAnsi="Times New Roman" w:cs="Times New Roman"/>
                <w:sz w:val="20"/>
                <w:szCs w:val="20"/>
              </w:rPr>
              <w:t xml:space="preserve">; </w:t>
            </w:r>
            <w:proofErr w:type="spellStart"/>
            <w:r w:rsidR="00002A25">
              <w:rPr>
                <w:rFonts w:ascii="Times New Roman" w:hAnsi="Times New Roman" w:cs="Times New Roman"/>
                <w:sz w:val="20"/>
                <w:szCs w:val="20"/>
              </w:rPr>
              <w:t>Zacher</w:t>
            </w:r>
            <w:proofErr w:type="spellEnd"/>
            <w:r w:rsidR="00002A25">
              <w:rPr>
                <w:rFonts w:ascii="Times New Roman" w:hAnsi="Times New Roman" w:cs="Times New Roman"/>
                <w:sz w:val="20"/>
                <w:szCs w:val="20"/>
              </w:rPr>
              <w:t>, 1999</w:t>
            </w:r>
            <w:r>
              <w:rPr>
                <w:rFonts w:ascii="Times New Roman" w:hAnsi="Times New Roman" w:cs="Times New Roman"/>
                <w:sz w:val="20"/>
                <w:szCs w:val="20"/>
              </w:rPr>
              <w:t xml:space="preserve">). The furtherance of public health is a precursor to general well being (McMahon, 2009). However, the policymakers mention public health in conjunction with private partnerships, including businesses; so again, the public good may not be framed in purely public terms. </w:t>
            </w:r>
          </w:p>
        </w:tc>
      </w:tr>
      <w:tr w:rsidR="00C46BA0" w:rsidTr="00A2608F">
        <w:tc>
          <w:tcPr>
            <w:tcW w:w="3192" w:type="dxa"/>
          </w:tcPr>
          <w:p w:rsidR="00C46BA0" w:rsidRDefault="00C46BA0" w:rsidP="00C0266C">
            <w:pPr>
              <w:pStyle w:val="NormalWeb"/>
              <w:ind w:firstLine="0"/>
            </w:pPr>
            <w:r>
              <w:lastRenderedPageBreak/>
              <w:t xml:space="preserve">References to </w:t>
            </w:r>
          </w:p>
          <w:p w:rsidR="00C46BA0" w:rsidRDefault="00C46BA0" w:rsidP="00C0266C">
            <w:pPr>
              <w:pStyle w:val="NormalWeb"/>
              <w:ind w:firstLine="0"/>
            </w:pPr>
            <w:r>
              <w:t>poverty reduction/</w:t>
            </w:r>
          </w:p>
          <w:p w:rsidR="00C46BA0" w:rsidRDefault="00C46BA0" w:rsidP="00C0266C">
            <w:pPr>
              <w:pStyle w:val="NormalWeb"/>
              <w:ind w:firstLine="0"/>
            </w:pPr>
            <w:r>
              <w:t>assistance/financial stability</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general happiness</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non-market knowledge and research</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art, literature, theater</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 xml:space="preserve">References to cultural diversity </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 xml:space="preserve">References to pedagogy </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 xml:space="preserve">References to college mission </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(13)1, (3.1)1, (3.1C)1, (3.2)3, (3.4)1</w:t>
            </w:r>
          </w:p>
          <w:p w:rsidR="00C46BA0" w:rsidRDefault="00C46BA0">
            <w:pPr>
              <w:rPr>
                <w:rFonts w:ascii="Times New Roman" w:hAnsi="Times New Roman" w:cs="Times New Roman"/>
                <w:sz w:val="24"/>
                <w:szCs w:val="24"/>
              </w:rPr>
            </w:pPr>
          </w:p>
          <w:p w:rsidR="00C46BA0" w:rsidRDefault="00C46BA0">
            <w:pPr>
              <w:rPr>
                <w:rFonts w:ascii="Times New Roman" w:hAnsi="Times New Roman" w:cs="Times New Roman"/>
                <w:sz w:val="24"/>
                <w:szCs w:val="24"/>
              </w:rPr>
            </w:pPr>
            <w:r>
              <w:rPr>
                <w:rFonts w:ascii="Times New Roman" w:hAnsi="Times New Roman" w:cs="Times New Roman"/>
                <w:sz w:val="24"/>
                <w:szCs w:val="24"/>
              </w:rPr>
              <w:t>TC: 7</w:t>
            </w:r>
          </w:p>
        </w:tc>
        <w:tc>
          <w:tcPr>
            <w:tcW w:w="3438" w:type="dxa"/>
          </w:tcPr>
          <w:p w:rsidR="00C46BA0" w:rsidRPr="00AF2679" w:rsidRDefault="00C46BA0" w:rsidP="001C58B8">
            <w:pPr>
              <w:rPr>
                <w:rFonts w:ascii="Times New Roman" w:hAnsi="Times New Roman" w:cs="Times New Roman"/>
                <w:sz w:val="20"/>
                <w:szCs w:val="20"/>
              </w:rPr>
            </w:pPr>
            <w:r w:rsidRPr="00AF2679">
              <w:rPr>
                <w:rFonts w:ascii="Times New Roman" w:hAnsi="Times New Roman" w:cs="Times New Roman"/>
                <w:sz w:val="20"/>
                <w:szCs w:val="20"/>
              </w:rPr>
              <w:t xml:space="preserve">There is an emphasis on individual college missions, even a safeguard to protect unique college missions (although what constitutes a unique mission is left undefined). </w:t>
            </w:r>
            <w:r>
              <w:rPr>
                <w:rFonts w:ascii="Times New Roman" w:hAnsi="Times New Roman" w:cs="Times New Roman"/>
                <w:sz w:val="20"/>
                <w:szCs w:val="20"/>
              </w:rPr>
              <w:t>Unique missions promote the public good in a variety of ways, through research, service, teaching and other ways (</w:t>
            </w:r>
            <w:proofErr w:type="spellStart"/>
            <w:r>
              <w:rPr>
                <w:rFonts w:ascii="Times New Roman" w:hAnsi="Times New Roman" w:cs="Times New Roman"/>
                <w:sz w:val="20"/>
                <w:szCs w:val="20"/>
              </w:rPr>
              <w:t>Pusser</w:t>
            </w:r>
            <w:proofErr w:type="spellEnd"/>
            <w:r>
              <w:rPr>
                <w:rFonts w:ascii="Times New Roman" w:hAnsi="Times New Roman" w:cs="Times New Roman"/>
                <w:sz w:val="20"/>
                <w:szCs w:val="20"/>
              </w:rPr>
              <w:t>, 2006; X, 2006). Despite the safeguards, each institution is situated in the hierarchy, at the bottom. How an institution can exercise its mission within a hierarchy remains to be seen.</w:t>
            </w:r>
          </w:p>
        </w:tc>
      </w:tr>
      <w:tr w:rsidR="00C46BA0" w:rsidTr="00A2608F">
        <w:tc>
          <w:tcPr>
            <w:tcW w:w="3192" w:type="dxa"/>
          </w:tcPr>
          <w:p w:rsidR="00C46BA0" w:rsidRDefault="00C46BA0" w:rsidP="00C0266C">
            <w:pPr>
              <w:pStyle w:val="NormalWeb"/>
              <w:ind w:firstLine="0"/>
            </w:pPr>
            <w:r>
              <w:t>References to enhancing citizenship</w:t>
            </w:r>
            <w:r w:rsidR="00002A25">
              <w:t>/public service</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(3.2)1, (3.3)1</w:t>
            </w:r>
          </w:p>
          <w:p w:rsidR="00C46BA0" w:rsidRDefault="00C46BA0">
            <w:pPr>
              <w:rPr>
                <w:rFonts w:ascii="Times New Roman" w:hAnsi="Times New Roman" w:cs="Times New Roman"/>
                <w:sz w:val="24"/>
                <w:szCs w:val="24"/>
              </w:rPr>
            </w:pPr>
          </w:p>
          <w:p w:rsidR="00C46BA0" w:rsidRDefault="00C46BA0">
            <w:pPr>
              <w:rPr>
                <w:rFonts w:ascii="Times New Roman" w:hAnsi="Times New Roman" w:cs="Times New Roman"/>
                <w:sz w:val="24"/>
                <w:szCs w:val="24"/>
              </w:rPr>
            </w:pPr>
            <w:r>
              <w:rPr>
                <w:rFonts w:ascii="Times New Roman" w:hAnsi="Times New Roman" w:cs="Times New Roman"/>
                <w:sz w:val="24"/>
                <w:szCs w:val="24"/>
              </w:rPr>
              <w:t>TC: 2</w:t>
            </w:r>
          </w:p>
        </w:tc>
        <w:tc>
          <w:tcPr>
            <w:tcW w:w="3438" w:type="dxa"/>
          </w:tcPr>
          <w:p w:rsidR="00C46BA0" w:rsidRPr="003A3D4E" w:rsidRDefault="00C46BA0" w:rsidP="00002A25">
            <w:pPr>
              <w:rPr>
                <w:rFonts w:ascii="Times New Roman" w:hAnsi="Times New Roman" w:cs="Times New Roman"/>
                <w:sz w:val="20"/>
                <w:szCs w:val="20"/>
              </w:rPr>
            </w:pPr>
            <w:r w:rsidRPr="003A3D4E">
              <w:rPr>
                <w:rFonts w:ascii="Times New Roman" w:hAnsi="Times New Roman" w:cs="Times New Roman"/>
                <w:sz w:val="20"/>
                <w:szCs w:val="20"/>
              </w:rPr>
              <w:t xml:space="preserve">There were two direct references to public service and one reference to civic leaders. TN policymakers do recognize public service as part of the public good. </w:t>
            </w:r>
          </w:p>
        </w:tc>
      </w:tr>
      <w:tr w:rsidR="00C46BA0" w:rsidTr="00A2608F">
        <w:tc>
          <w:tcPr>
            <w:tcW w:w="3192" w:type="dxa"/>
          </w:tcPr>
          <w:p w:rsidR="00C46BA0" w:rsidRDefault="00C46BA0" w:rsidP="00C0266C">
            <w:pPr>
              <w:pStyle w:val="NormalWeb"/>
              <w:ind w:firstLine="0"/>
            </w:pPr>
            <w:r>
              <w:t>References to liberal arts</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externalities/social benefits</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 xml:space="preserve">References to social transformation/social criticism  </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reduced Crime Rate</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rsidP="00E2221F">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86087A">
            <w:pPr>
              <w:pStyle w:val="NormalWeb"/>
              <w:ind w:firstLine="0"/>
            </w:pPr>
            <w:r>
              <w:t xml:space="preserve">References to </w:t>
            </w:r>
            <w:proofErr w:type="spellStart"/>
            <w:r w:rsidR="0086087A">
              <w:t>glo-na-</w:t>
            </w:r>
            <w:r w:rsidR="0086087A">
              <w:lastRenderedPageBreak/>
              <w:t>cal</w:t>
            </w:r>
            <w:proofErr w:type="spellEnd"/>
            <w:r w:rsidR="0086087A">
              <w:t xml:space="preserve">/horizontal linkages </w:t>
            </w:r>
            <w:r>
              <w:t xml:space="preserve"> </w:t>
            </w:r>
          </w:p>
        </w:tc>
        <w:tc>
          <w:tcPr>
            <w:tcW w:w="2946" w:type="dxa"/>
          </w:tcPr>
          <w:p w:rsidR="00C46BA0" w:rsidRDefault="0086087A">
            <w:pPr>
              <w:rPr>
                <w:rFonts w:ascii="Times New Roman" w:hAnsi="Times New Roman" w:cs="Times New Roman"/>
                <w:sz w:val="20"/>
                <w:szCs w:val="20"/>
              </w:rPr>
            </w:pPr>
            <w:r>
              <w:rPr>
                <w:rFonts w:ascii="Times New Roman" w:hAnsi="Times New Roman" w:cs="Times New Roman"/>
                <w:sz w:val="20"/>
                <w:szCs w:val="20"/>
              </w:rPr>
              <w:lastRenderedPageBreak/>
              <w:t>(11.a-b)</w:t>
            </w:r>
            <w:r w:rsidR="00B511CD">
              <w:rPr>
                <w:rFonts w:ascii="Times New Roman" w:hAnsi="Times New Roman" w:cs="Times New Roman"/>
                <w:sz w:val="20"/>
                <w:szCs w:val="20"/>
              </w:rPr>
              <w:t>2</w:t>
            </w:r>
          </w:p>
          <w:p w:rsidR="00B511CD" w:rsidRDefault="00B511CD">
            <w:pPr>
              <w:rPr>
                <w:rFonts w:ascii="Times New Roman" w:hAnsi="Times New Roman" w:cs="Times New Roman"/>
                <w:sz w:val="20"/>
                <w:szCs w:val="20"/>
              </w:rPr>
            </w:pPr>
          </w:p>
          <w:p w:rsidR="00B511CD" w:rsidRPr="00F679DD" w:rsidRDefault="00B511CD">
            <w:pPr>
              <w:rPr>
                <w:rFonts w:ascii="Times New Roman" w:hAnsi="Times New Roman" w:cs="Times New Roman"/>
                <w:sz w:val="20"/>
                <w:szCs w:val="20"/>
              </w:rPr>
            </w:pPr>
            <w:r>
              <w:rPr>
                <w:rFonts w:ascii="Times New Roman" w:hAnsi="Times New Roman" w:cs="Times New Roman"/>
                <w:sz w:val="20"/>
                <w:szCs w:val="20"/>
              </w:rPr>
              <w:t>TC: 2</w:t>
            </w:r>
          </w:p>
        </w:tc>
        <w:tc>
          <w:tcPr>
            <w:tcW w:w="3438" w:type="dxa"/>
          </w:tcPr>
          <w:p w:rsidR="00C46BA0" w:rsidRPr="00F679DD" w:rsidRDefault="0086087A" w:rsidP="00E2221F">
            <w:pPr>
              <w:rPr>
                <w:rFonts w:ascii="Times New Roman" w:hAnsi="Times New Roman" w:cs="Times New Roman"/>
                <w:sz w:val="20"/>
                <w:szCs w:val="20"/>
              </w:rPr>
            </w:pPr>
            <w:r>
              <w:rPr>
                <w:rFonts w:ascii="Times New Roman" w:hAnsi="Times New Roman" w:cs="Times New Roman"/>
                <w:sz w:val="20"/>
                <w:szCs w:val="20"/>
              </w:rPr>
              <w:lastRenderedPageBreak/>
              <w:t>See health and public service</w:t>
            </w:r>
          </w:p>
        </w:tc>
      </w:tr>
      <w:tr w:rsidR="00C46BA0" w:rsidTr="00A2608F">
        <w:tc>
          <w:tcPr>
            <w:tcW w:w="3192" w:type="dxa"/>
          </w:tcPr>
          <w:p w:rsidR="00C46BA0" w:rsidRDefault="00C46BA0" w:rsidP="00C0266C">
            <w:pPr>
              <w:pStyle w:val="NormalWeb"/>
              <w:ind w:firstLine="0"/>
            </w:pPr>
            <w:r>
              <w:lastRenderedPageBreak/>
              <w:t>References to social contract/state support/resident enrollment</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(3.1)1, (3.2)1, (3.3)1, (8.1)1</w:t>
            </w:r>
          </w:p>
          <w:p w:rsidR="00C46BA0" w:rsidRDefault="00C46BA0">
            <w:pPr>
              <w:rPr>
                <w:rFonts w:ascii="Times New Roman" w:hAnsi="Times New Roman" w:cs="Times New Roman"/>
                <w:sz w:val="24"/>
                <w:szCs w:val="24"/>
              </w:rPr>
            </w:pPr>
          </w:p>
          <w:p w:rsidR="00C46BA0" w:rsidRDefault="00C46BA0">
            <w:pPr>
              <w:rPr>
                <w:rFonts w:ascii="Times New Roman" w:hAnsi="Times New Roman" w:cs="Times New Roman"/>
                <w:sz w:val="24"/>
                <w:szCs w:val="24"/>
              </w:rPr>
            </w:pPr>
            <w:r>
              <w:rPr>
                <w:rFonts w:ascii="Times New Roman" w:hAnsi="Times New Roman" w:cs="Times New Roman"/>
                <w:sz w:val="24"/>
                <w:szCs w:val="24"/>
              </w:rPr>
              <w:t>TC: 4</w:t>
            </w:r>
          </w:p>
        </w:tc>
        <w:tc>
          <w:tcPr>
            <w:tcW w:w="3438" w:type="dxa"/>
          </w:tcPr>
          <w:p w:rsidR="00C46BA0" w:rsidRPr="00A92574" w:rsidRDefault="00C46BA0">
            <w:pPr>
              <w:rPr>
                <w:rFonts w:ascii="Times New Roman" w:hAnsi="Times New Roman" w:cs="Times New Roman"/>
                <w:sz w:val="20"/>
                <w:szCs w:val="20"/>
              </w:rPr>
            </w:pPr>
            <w:r w:rsidRPr="00A92574">
              <w:rPr>
                <w:rFonts w:ascii="Times New Roman" w:hAnsi="Times New Roman" w:cs="Times New Roman"/>
                <w:sz w:val="20"/>
                <w:szCs w:val="20"/>
              </w:rPr>
              <w:t xml:space="preserve">There were four references to ensuring that Tennessee citizens are served. This speaks to the social contract between the state and HEI (Lewis &amp; Hearn, 2003). </w:t>
            </w:r>
            <w:r>
              <w:rPr>
                <w:rFonts w:ascii="Times New Roman" w:hAnsi="Times New Roman" w:cs="Times New Roman"/>
                <w:sz w:val="20"/>
                <w:szCs w:val="20"/>
              </w:rPr>
              <w:t xml:space="preserve">Of course, the main outcome of the policy is to promote economic and market efficiency for Tennessee and its citizens. So service to citizens in framed in market terms. </w:t>
            </w:r>
          </w:p>
        </w:tc>
      </w:tr>
      <w:tr w:rsidR="00C46BA0" w:rsidTr="00A2608F">
        <w:tc>
          <w:tcPr>
            <w:tcW w:w="3192" w:type="dxa"/>
          </w:tcPr>
          <w:p w:rsidR="00C46BA0" w:rsidRDefault="00C46BA0" w:rsidP="00C0266C">
            <w:pPr>
              <w:pStyle w:val="NormalWeb"/>
              <w:ind w:firstLine="0"/>
            </w:pPr>
            <w:r>
              <w:t>References to institutional autonomy</w:t>
            </w:r>
          </w:p>
        </w:tc>
        <w:tc>
          <w:tcPr>
            <w:tcW w:w="2946"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c>
          <w:tcPr>
            <w:tcW w:w="3438" w:type="dxa"/>
          </w:tcPr>
          <w:p w:rsidR="00C46BA0" w:rsidRPr="00F679DD" w:rsidRDefault="00C46BA0">
            <w:pPr>
              <w:rPr>
                <w:rFonts w:ascii="Times New Roman" w:hAnsi="Times New Roman" w:cs="Times New Roman"/>
                <w:sz w:val="20"/>
                <w:szCs w:val="20"/>
              </w:rPr>
            </w:pPr>
            <w:r w:rsidRPr="00F679DD">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pollution reduction/clean air</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(9.3)1</w:t>
            </w:r>
          </w:p>
          <w:p w:rsidR="00C46BA0" w:rsidRDefault="00C46BA0">
            <w:pPr>
              <w:rPr>
                <w:rFonts w:ascii="Times New Roman" w:hAnsi="Times New Roman" w:cs="Times New Roman"/>
                <w:sz w:val="24"/>
                <w:szCs w:val="24"/>
              </w:rPr>
            </w:pPr>
          </w:p>
          <w:p w:rsidR="00C46BA0" w:rsidRDefault="00C46BA0">
            <w:pPr>
              <w:rPr>
                <w:rFonts w:ascii="Times New Roman" w:hAnsi="Times New Roman" w:cs="Times New Roman"/>
                <w:sz w:val="24"/>
                <w:szCs w:val="24"/>
              </w:rPr>
            </w:pPr>
            <w:r>
              <w:rPr>
                <w:rFonts w:ascii="Times New Roman" w:hAnsi="Times New Roman" w:cs="Times New Roman"/>
                <w:sz w:val="24"/>
                <w:szCs w:val="24"/>
              </w:rPr>
              <w:t>TC: 1</w:t>
            </w:r>
          </w:p>
        </w:tc>
        <w:tc>
          <w:tcPr>
            <w:tcW w:w="3438" w:type="dxa"/>
          </w:tcPr>
          <w:p w:rsidR="00C46BA0" w:rsidRPr="00A92574" w:rsidRDefault="00C46BA0">
            <w:pPr>
              <w:rPr>
                <w:rFonts w:ascii="Times New Roman" w:hAnsi="Times New Roman" w:cs="Times New Roman"/>
                <w:sz w:val="20"/>
                <w:szCs w:val="20"/>
              </w:rPr>
            </w:pPr>
            <w:r w:rsidRPr="00A92574">
              <w:rPr>
                <w:rFonts w:ascii="Times New Roman" w:hAnsi="Times New Roman" w:cs="Times New Roman"/>
                <w:sz w:val="20"/>
                <w:szCs w:val="20"/>
              </w:rPr>
              <w:t xml:space="preserve">There is one reference to pollution reduction. The TN policymakers want to promote the creation of clean energy products. Clean air and pollution reduction are integral to any vision of the public good </w:t>
            </w:r>
            <w:r>
              <w:rPr>
                <w:rFonts w:ascii="Times New Roman" w:hAnsi="Times New Roman" w:cs="Times New Roman"/>
                <w:sz w:val="20"/>
                <w:szCs w:val="20"/>
              </w:rPr>
              <w:t xml:space="preserve">and are public goods in themselves </w:t>
            </w:r>
            <w:r w:rsidRPr="00A92574">
              <w:rPr>
                <w:rFonts w:ascii="Times New Roman" w:hAnsi="Times New Roman" w:cs="Times New Roman"/>
                <w:sz w:val="20"/>
                <w:szCs w:val="20"/>
              </w:rPr>
              <w:t>(</w:t>
            </w:r>
            <w:proofErr w:type="spellStart"/>
            <w:r w:rsidRPr="00A92574">
              <w:rPr>
                <w:rFonts w:ascii="Times New Roman" w:hAnsi="Times New Roman" w:cs="Times New Roman"/>
                <w:sz w:val="20"/>
                <w:szCs w:val="20"/>
              </w:rPr>
              <w:t>Kaul</w:t>
            </w:r>
            <w:proofErr w:type="spellEnd"/>
            <w:r w:rsidRPr="00A92574">
              <w:rPr>
                <w:rFonts w:ascii="Times New Roman" w:hAnsi="Times New Roman" w:cs="Times New Roman"/>
                <w:sz w:val="20"/>
                <w:szCs w:val="20"/>
              </w:rPr>
              <w:t xml:space="preserve">, </w:t>
            </w:r>
            <w:proofErr w:type="spellStart"/>
            <w:r w:rsidRPr="00A92574">
              <w:rPr>
                <w:rFonts w:ascii="Times New Roman" w:hAnsi="Times New Roman" w:cs="Times New Roman"/>
                <w:sz w:val="20"/>
                <w:szCs w:val="20"/>
              </w:rPr>
              <w:t>Inge</w:t>
            </w:r>
            <w:proofErr w:type="spellEnd"/>
            <w:r w:rsidRPr="00A92574">
              <w:rPr>
                <w:rFonts w:ascii="Times New Roman" w:hAnsi="Times New Roman" w:cs="Times New Roman"/>
                <w:sz w:val="20"/>
                <w:szCs w:val="20"/>
              </w:rPr>
              <w:t xml:space="preserve">, </w:t>
            </w:r>
            <w:proofErr w:type="spellStart"/>
            <w:r w:rsidRPr="00A92574">
              <w:rPr>
                <w:rFonts w:ascii="Times New Roman" w:hAnsi="Times New Roman" w:cs="Times New Roman"/>
                <w:sz w:val="20"/>
                <w:szCs w:val="20"/>
              </w:rPr>
              <w:t>Grunberg</w:t>
            </w:r>
            <w:proofErr w:type="spellEnd"/>
            <w:r w:rsidRPr="00A92574">
              <w:rPr>
                <w:rFonts w:ascii="Times New Roman" w:hAnsi="Times New Roman" w:cs="Times New Roman"/>
                <w:sz w:val="20"/>
                <w:szCs w:val="20"/>
              </w:rPr>
              <w:t>, 1999).</w:t>
            </w:r>
            <w:r>
              <w:rPr>
                <w:rFonts w:ascii="Times New Roman" w:hAnsi="Times New Roman" w:cs="Times New Roman"/>
                <w:sz w:val="20"/>
                <w:szCs w:val="20"/>
              </w:rPr>
              <w:t xml:space="preserve"> However, the promotion of clean energy is framed within public/private partnership, specifically with ORNL. </w:t>
            </w:r>
          </w:p>
        </w:tc>
      </w:tr>
      <w:tr w:rsidR="00C46BA0" w:rsidTr="00A2608F">
        <w:tc>
          <w:tcPr>
            <w:tcW w:w="3192" w:type="dxa"/>
          </w:tcPr>
          <w:p w:rsidR="00C46BA0" w:rsidRDefault="00C46BA0" w:rsidP="00C0266C">
            <w:pPr>
              <w:pStyle w:val="NormalWeb"/>
              <w:ind w:firstLine="0"/>
            </w:pPr>
            <w:r>
              <w:t>References to global citizenship, global public goods/national/regional local goods or publics</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N/A</w:t>
            </w:r>
          </w:p>
        </w:tc>
        <w:tc>
          <w:tcPr>
            <w:tcW w:w="3438" w:type="dxa"/>
          </w:tcPr>
          <w:p w:rsidR="00C46BA0" w:rsidRPr="00A92574" w:rsidRDefault="00C46BA0">
            <w:pPr>
              <w:rPr>
                <w:rFonts w:ascii="Times New Roman" w:hAnsi="Times New Roman" w:cs="Times New Roman"/>
                <w:sz w:val="20"/>
                <w:szCs w:val="20"/>
              </w:rPr>
            </w:pPr>
            <w:r>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deliberate inter-generational concerns</w:t>
            </w:r>
          </w:p>
        </w:tc>
        <w:tc>
          <w:tcPr>
            <w:tcW w:w="2946" w:type="dxa"/>
          </w:tcPr>
          <w:p w:rsidR="00C46BA0" w:rsidRDefault="00C46BA0">
            <w:pPr>
              <w:rPr>
                <w:rFonts w:ascii="Times New Roman" w:hAnsi="Times New Roman" w:cs="Times New Roman"/>
                <w:sz w:val="24"/>
                <w:szCs w:val="24"/>
              </w:rPr>
            </w:pPr>
            <w:r>
              <w:rPr>
                <w:rFonts w:ascii="Times New Roman" w:hAnsi="Times New Roman" w:cs="Times New Roman"/>
                <w:sz w:val="24"/>
                <w:szCs w:val="24"/>
              </w:rPr>
              <w:t>N/A</w:t>
            </w:r>
          </w:p>
        </w:tc>
        <w:tc>
          <w:tcPr>
            <w:tcW w:w="3438" w:type="dxa"/>
          </w:tcPr>
          <w:p w:rsidR="00C46BA0" w:rsidRDefault="00C46BA0">
            <w:pPr>
              <w:rPr>
                <w:rFonts w:ascii="Times New Roman" w:hAnsi="Times New Roman" w:cs="Times New Roman"/>
                <w:sz w:val="20"/>
                <w:szCs w:val="20"/>
              </w:rPr>
            </w:pPr>
            <w:r>
              <w:rPr>
                <w:rFonts w:ascii="Times New Roman" w:hAnsi="Times New Roman" w:cs="Times New Roman"/>
                <w:sz w:val="20"/>
                <w:szCs w:val="20"/>
              </w:rPr>
              <w:t>N/A</w:t>
            </w:r>
          </w:p>
        </w:tc>
      </w:tr>
      <w:tr w:rsidR="00C46BA0" w:rsidTr="00A2608F">
        <w:tc>
          <w:tcPr>
            <w:tcW w:w="3192" w:type="dxa"/>
          </w:tcPr>
          <w:p w:rsidR="00C46BA0" w:rsidRDefault="00C46BA0" w:rsidP="00C0266C">
            <w:pPr>
              <w:pStyle w:val="NormalWeb"/>
              <w:ind w:firstLine="0"/>
            </w:pPr>
            <w:r>
              <w:t>References to just use of STEM</w:t>
            </w:r>
          </w:p>
        </w:tc>
        <w:tc>
          <w:tcPr>
            <w:tcW w:w="2946" w:type="dxa"/>
          </w:tcPr>
          <w:p w:rsidR="00C46BA0" w:rsidRDefault="00C46BA0" w:rsidP="00C0266C">
            <w:pPr>
              <w:rPr>
                <w:rFonts w:ascii="Times New Roman" w:hAnsi="Times New Roman" w:cs="Times New Roman"/>
                <w:sz w:val="24"/>
                <w:szCs w:val="24"/>
              </w:rPr>
            </w:pPr>
            <w:r>
              <w:rPr>
                <w:rFonts w:ascii="Times New Roman" w:hAnsi="Times New Roman" w:cs="Times New Roman"/>
                <w:sz w:val="24"/>
                <w:szCs w:val="24"/>
              </w:rPr>
              <w:t>(9.3)1</w:t>
            </w:r>
          </w:p>
          <w:p w:rsidR="00C46BA0" w:rsidRDefault="00C46BA0" w:rsidP="00C0266C">
            <w:pPr>
              <w:rPr>
                <w:rFonts w:ascii="Times New Roman" w:hAnsi="Times New Roman" w:cs="Times New Roman"/>
                <w:sz w:val="24"/>
                <w:szCs w:val="24"/>
              </w:rPr>
            </w:pPr>
          </w:p>
          <w:p w:rsidR="00C46BA0" w:rsidRDefault="00C46BA0" w:rsidP="00C0266C">
            <w:pPr>
              <w:rPr>
                <w:rFonts w:ascii="Times New Roman" w:hAnsi="Times New Roman" w:cs="Times New Roman"/>
                <w:sz w:val="24"/>
                <w:szCs w:val="24"/>
              </w:rPr>
            </w:pPr>
            <w:r>
              <w:rPr>
                <w:rFonts w:ascii="Times New Roman" w:hAnsi="Times New Roman" w:cs="Times New Roman"/>
                <w:sz w:val="24"/>
                <w:szCs w:val="24"/>
              </w:rPr>
              <w:t>TC: 1</w:t>
            </w:r>
          </w:p>
        </w:tc>
        <w:tc>
          <w:tcPr>
            <w:tcW w:w="3438" w:type="dxa"/>
          </w:tcPr>
          <w:p w:rsidR="00C46BA0" w:rsidRDefault="00C46BA0">
            <w:pPr>
              <w:rPr>
                <w:rFonts w:ascii="Times New Roman" w:hAnsi="Times New Roman" w:cs="Times New Roman"/>
                <w:sz w:val="20"/>
                <w:szCs w:val="20"/>
              </w:rPr>
            </w:pPr>
            <w:r>
              <w:rPr>
                <w:rFonts w:ascii="Times New Roman" w:hAnsi="Times New Roman" w:cs="Times New Roman"/>
                <w:sz w:val="20"/>
                <w:szCs w:val="20"/>
              </w:rPr>
              <w:t>See pollution/clean air</w:t>
            </w:r>
          </w:p>
        </w:tc>
      </w:tr>
    </w:tbl>
    <w:p w:rsidR="001D06F2" w:rsidRDefault="001D06F2">
      <w:pPr>
        <w:rPr>
          <w:rFonts w:ascii="Times New Roman" w:hAnsi="Times New Roman" w:cs="Times New Roman"/>
          <w:sz w:val="24"/>
          <w:szCs w:val="24"/>
        </w:rPr>
      </w:pPr>
    </w:p>
    <w:p w:rsidR="008205FD" w:rsidRDefault="00B41180">
      <w:pPr>
        <w:rPr>
          <w:rFonts w:ascii="Times New Roman" w:hAnsi="Times New Roman" w:cs="Times New Roman"/>
          <w:sz w:val="24"/>
          <w:szCs w:val="24"/>
        </w:rPr>
      </w:pPr>
      <w:r>
        <w:rPr>
          <w:rFonts w:ascii="Times New Roman" w:hAnsi="Times New Roman" w:cs="Times New Roman"/>
          <w:sz w:val="24"/>
          <w:szCs w:val="24"/>
        </w:rPr>
        <w:lastRenderedPageBreak/>
        <w:t>Table 6</w:t>
      </w:r>
      <w:r w:rsidR="005A42D9">
        <w:rPr>
          <w:rFonts w:ascii="Times New Roman" w:hAnsi="Times New Roman" w:cs="Times New Roman"/>
          <w:sz w:val="24"/>
          <w:szCs w:val="24"/>
        </w:rPr>
        <w:t>B</w:t>
      </w:r>
      <w:r w:rsidR="008205FD">
        <w:rPr>
          <w:rFonts w:ascii="Times New Roman" w:hAnsi="Times New Roman" w:cs="Times New Roman"/>
          <w:sz w:val="24"/>
          <w:szCs w:val="24"/>
        </w:rPr>
        <w:t>. Visual Representation of TN Non-hegemonic categories</w:t>
      </w:r>
      <w:r w:rsidR="004C124C">
        <w:rPr>
          <w:rFonts w:ascii="Times New Roman" w:hAnsi="Times New Roman" w:cs="Times New Roman"/>
          <w:sz w:val="24"/>
          <w:szCs w:val="24"/>
        </w:rPr>
        <w:t>.</w:t>
      </w:r>
      <w:r w:rsidR="008205FD">
        <w:rPr>
          <w:noProof/>
        </w:rPr>
        <w:drawing>
          <wp:inline distT="0" distB="0" distL="0" distR="0" wp14:anchorId="07236C19" wp14:editId="74F6B7E2">
            <wp:extent cx="4106174" cy="2432649"/>
            <wp:effectExtent l="0" t="0" r="889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0E8C" w:rsidRDefault="00FE0E8C">
      <w:pPr>
        <w:rPr>
          <w:rFonts w:ascii="Times New Roman" w:hAnsi="Times New Roman" w:cs="Times New Roman"/>
          <w:sz w:val="24"/>
          <w:szCs w:val="24"/>
        </w:rPr>
      </w:pPr>
      <w:bookmarkStart w:id="0" w:name="_GoBack"/>
      <w:bookmarkEnd w:id="0"/>
    </w:p>
    <w:p w:rsidR="005E7B21" w:rsidRPr="000E4EA7" w:rsidRDefault="00B41180">
      <w:pPr>
        <w:rPr>
          <w:rFonts w:ascii="Times New Roman" w:hAnsi="Times New Roman" w:cs="Times New Roman"/>
          <w:sz w:val="24"/>
          <w:szCs w:val="24"/>
        </w:rPr>
      </w:pPr>
      <w:r>
        <w:rPr>
          <w:rFonts w:ascii="Times New Roman" w:hAnsi="Times New Roman" w:cs="Times New Roman"/>
          <w:sz w:val="24"/>
          <w:szCs w:val="24"/>
        </w:rPr>
        <w:t>Table 8</w:t>
      </w:r>
      <w:r w:rsidR="005A42D9">
        <w:rPr>
          <w:rFonts w:ascii="Times New Roman" w:hAnsi="Times New Roman" w:cs="Times New Roman"/>
          <w:sz w:val="24"/>
          <w:szCs w:val="24"/>
        </w:rPr>
        <w:t>B</w:t>
      </w:r>
      <w:r w:rsidR="000E4EA7" w:rsidRPr="000E4EA7">
        <w:rPr>
          <w:rFonts w:ascii="Times New Roman" w:hAnsi="Times New Roman" w:cs="Times New Roman"/>
          <w:sz w:val="24"/>
          <w:szCs w:val="24"/>
        </w:rPr>
        <w:t>.</w:t>
      </w:r>
      <w:r w:rsidR="005E7B21" w:rsidRPr="000E4EA7">
        <w:rPr>
          <w:rFonts w:ascii="Times New Roman" w:hAnsi="Times New Roman" w:cs="Times New Roman"/>
          <w:sz w:val="24"/>
          <w:szCs w:val="24"/>
        </w:rPr>
        <w:t xml:space="preserve"> Social Actors Chart</w:t>
      </w:r>
      <w:r w:rsidR="004C124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82"/>
        <w:gridCol w:w="2222"/>
        <w:gridCol w:w="1654"/>
        <w:gridCol w:w="2698"/>
      </w:tblGrid>
      <w:tr w:rsidR="005E7B21" w:rsidTr="00EA2766">
        <w:tc>
          <w:tcPr>
            <w:tcW w:w="2394" w:type="dxa"/>
          </w:tcPr>
          <w:p w:rsidR="005E7B21" w:rsidRPr="00A7079D" w:rsidRDefault="005E7B21" w:rsidP="00E2221F">
            <w:pPr>
              <w:pStyle w:val="NormalWeb"/>
              <w:ind w:firstLine="0"/>
              <w:rPr>
                <w:b/>
              </w:rPr>
            </w:pPr>
            <w:r w:rsidRPr="00A7079D">
              <w:rPr>
                <w:b/>
              </w:rPr>
              <w:t>Social Actor</w:t>
            </w:r>
            <w:r>
              <w:rPr>
                <w:b/>
              </w:rPr>
              <w:t>(s)</w:t>
            </w:r>
            <w:r w:rsidRPr="00A7079D">
              <w:rPr>
                <w:b/>
              </w:rPr>
              <w:t xml:space="preserve"> </w:t>
            </w:r>
          </w:p>
        </w:tc>
        <w:tc>
          <w:tcPr>
            <w:tcW w:w="2394" w:type="dxa"/>
          </w:tcPr>
          <w:p w:rsidR="005E7B21" w:rsidRPr="00A7079D" w:rsidRDefault="005E7B21" w:rsidP="00E2221F">
            <w:pPr>
              <w:pStyle w:val="NormalWeb"/>
              <w:ind w:firstLine="0"/>
              <w:rPr>
                <w:b/>
              </w:rPr>
            </w:pPr>
            <w:r>
              <w:rPr>
                <w:b/>
              </w:rPr>
              <w:t xml:space="preserve">Positioning </w:t>
            </w:r>
            <w:r w:rsidRPr="00A7079D">
              <w:rPr>
                <w:b/>
              </w:rPr>
              <w:t xml:space="preserve"> </w:t>
            </w:r>
          </w:p>
        </w:tc>
        <w:tc>
          <w:tcPr>
            <w:tcW w:w="1800" w:type="dxa"/>
          </w:tcPr>
          <w:p w:rsidR="005E7B21" w:rsidRPr="00A7079D" w:rsidRDefault="005E7B21" w:rsidP="00E2221F">
            <w:pPr>
              <w:pStyle w:val="NormalWeb"/>
              <w:ind w:firstLine="0"/>
              <w:rPr>
                <w:b/>
              </w:rPr>
            </w:pPr>
            <w:r w:rsidRPr="00A7079D">
              <w:rPr>
                <w:b/>
              </w:rPr>
              <w:t>Location</w:t>
            </w:r>
          </w:p>
        </w:tc>
        <w:tc>
          <w:tcPr>
            <w:tcW w:w="2988" w:type="dxa"/>
          </w:tcPr>
          <w:p w:rsidR="005E7B21" w:rsidRPr="00A7079D" w:rsidRDefault="005E7B21" w:rsidP="00E2221F">
            <w:pPr>
              <w:pStyle w:val="NormalWeb"/>
              <w:ind w:firstLine="0"/>
              <w:rPr>
                <w:b/>
              </w:rPr>
            </w:pPr>
            <w:r>
              <w:rPr>
                <w:b/>
              </w:rPr>
              <w:t xml:space="preserve">How actor(s) frames public good </w:t>
            </w:r>
          </w:p>
        </w:tc>
      </w:tr>
      <w:tr w:rsidR="005E7B21" w:rsidTr="00EA2766">
        <w:tc>
          <w:tcPr>
            <w:tcW w:w="2394" w:type="dxa"/>
          </w:tcPr>
          <w:p w:rsidR="005E7B21" w:rsidRPr="005802D2" w:rsidRDefault="005802D2">
            <w:pPr>
              <w:rPr>
                <w:rFonts w:ascii="Times New Roman" w:hAnsi="Times New Roman" w:cs="Times New Roman"/>
                <w:sz w:val="20"/>
                <w:szCs w:val="20"/>
              </w:rPr>
            </w:pPr>
            <w:r w:rsidRPr="005802D2">
              <w:rPr>
                <w:rFonts w:ascii="Times New Roman" w:hAnsi="Times New Roman" w:cs="Times New Roman"/>
                <w:sz w:val="20"/>
                <w:szCs w:val="20"/>
              </w:rPr>
              <w:t xml:space="preserve">Tennessee Higher Education Commission </w:t>
            </w:r>
          </w:p>
        </w:tc>
        <w:tc>
          <w:tcPr>
            <w:tcW w:w="2394" w:type="dxa"/>
          </w:tcPr>
          <w:p w:rsidR="005E7B21" w:rsidRPr="005F44B9" w:rsidRDefault="000E22F1" w:rsidP="000E22F1">
            <w:pPr>
              <w:rPr>
                <w:rFonts w:ascii="Times New Roman" w:hAnsi="Times New Roman" w:cs="Times New Roman"/>
                <w:sz w:val="24"/>
                <w:szCs w:val="24"/>
              </w:rPr>
            </w:pPr>
            <w:r w:rsidRPr="005F44B9">
              <w:rPr>
                <w:rFonts w:ascii="Times New Roman" w:hAnsi="Times New Roman" w:cs="Times New Roman"/>
                <w:sz w:val="24"/>
                <w:szCs w:val="24"/>
              </w:rPr>
              <w:t>“The commission shall construct a statewide master plan…”</w:t>
            </w:r>
          </w:p>
        </w:tc>
        <w:tc>
          <w:tcPr>
            <w:tcW w:w="1800" w:type="dxa"/>
          </w:tcPr>
          <w:p w:rsidR="005E7B21" w:rsidRDefault="00A56D0E">
            <w:pPr>
              <w:rPr>
                <w:rFonts w:ascii="Times New Roman" w:hAnsi="Times New Roman" w:cs="Times New Roman"/>
                <w:sz w:val="20"/>
                <w:szCs w:val="20"/>
              </w:rPr>
            </w:pPr>
            <w:r w:rsidRPr="000E22F1">
              <w:rPr>
                <w:rFonts w:ascii="Times New Roman" w:hAnsi="Times New Roman" w:cs="Times New Roman"/>
                <w:sz w:val="20"/>
                <w:szCs w:val="20"/>
              </w:rPr>
              <w:t>First mention: (3.1)</w:t>
            </w:r>
          </w:p>
          <w:p w:rsidR="009A4C4C" w:rsidRDefault="009A4C4C">
            <w:pPr>
              <w:rPr>
                <w:rFonts w:ascii="Times New Roman" w:hAnsi="Times New Roman" w:cs="Times New Roman"/>
                <w:sz w:val="20"/>
                <w:szCs w:val="20"/>
              </w:rPr>
            </w:pPr>
          </w:p>
          <w:p w:rsidR="009A4C4C" w:rsidRPr="000E22F1" w:rsidRDefault="009A4C4C">
            <w:pPr>
              <w:rPr>
                <w:rFonts w:ascii="Times New Roman" w:hAnsi="Times New Roman" w:cs="Times New Roman"/>
                <w:sz w:val="20"/>
                <w:szCs w:val="20"/>
              </w:rPr>
            </w:pPr>
            <w:r>
              <w:rPr>
                <w:rFonts w:ascii="Times New Roman" w:hAnsi="Times New Roman" w:cs="Times New Roman"/>
                <w:sz w:val="20"/>
                <w:szCs w:val="20"/>
              </w:rPr>
              <w:t>26 total mentions</w:t>
            </w:r>
          </w:p>
        </w:tc>
        <w:tc>
          <w:tcPr>
            <w:tcW w:w="2988" w:type="dxa"/>
          </w:tcPr>
          <w:p w:rsidR="005E7B21" w:rsidRPr="00466B18" w:rsidRDefault="00466B18" w:rsidP="00E2221F">
            <w:pPr>
              <w:rPr>
                <w:rFonts w:ascii="Times New Roman" w:hAnsi="Times New Roman" w:cs="Times New Roman"/>
                <w:sz w:val="20"/>
                <w:szCs w:val="20"/>
              </w:rPr>
            </w:pPr>
            <w:r w:rsidRPr="00466B18">
              <w:rPr>
                <w:rFonts w:ascii="Times New Roman" w:hAnsi="Times New Roman" w:cs="Times New Roman"/>
                <w:sz w:val="20"/>
                <w:szCs w:val="20"/>
              </w:rPr>
              <w:t>THEC is the coordinating agency for the state of Tennessee</w:t>
            </w:r>
            <w:r w:rsidR="00C72FC3">
              <w:rPr>
                <w:rFonts w:ascii="Times New Roman" w:hAnsi="Times New Roman" w:cs="Times New Roman"/>
                <w:sz w:val="20"/>
                <w:szCs w:val="20"/>
              </w:rPr>
              <w:t>, with members appointed by the governor</w:t>
            </w:r>
            <w:r w:rsidRPr="00466B18">
              <w:rPr>
                <w:rFonts w:ascii="Times New Roman" w:hAnsi="Times New Roman" w:cs="Times New Roman"/>
                <w:sz w:val="20"/>
                <w:szCs w:val="20"/>
              </w:rPr>
              <w:t xml:space="preserve">. </w:t>
            </w:r>
            <w:r w:rsidR="00E2221F">
              <w:rPr>
                <w:rFonts w:ascii="Times New Roman" w:hAnsi="Times New Roman" w:cs="Times New Roman"/>
                <w:sz w:val="20"/>
                <w:szCs w:val="20"/>
              </w:rPr>
              <w:t xml:space="preserve">In 2001, </w:t>
            </w:r>
            <w:proofErr w:type="spellStart"/>
            <w:r w:rsidR="0028382B">
              <w:rPr>
                <w:rFonts w:ascii="Times New Roman" w:hAnsi="Times New Roman" w:cs="Times New Roman"/>
                <w:sz w:val="20"/>
                <w:szCs w:val="20"/>
              </w:rPr>
              <w:t>Zumeta</w:t>
            </w:r>
            <w:proofErr w:type="spellEnd"/>
            <w:r w:rsidR="0028382B">
              <w:rPr>
                <w:rFonts w:ascii="Times New Roman" w:hAnsi="Times New Roman" w:cs="Times New Roman"/>
                <w:sz w:val="20"/>
                <w:szCs w:val="20"/>
              </w:rPr>
              <w:t xml:space="preserve"> (2001) argued that coordinating boards across the nation have </w:t>
            </w:r>
            <w:r w:rsidR="00E2221F">
              <w:rPr>
                <w:rFonts w:ascii="Times New Roman" w:hAnsi="Times New Roman" w:cs="Times New Roman"/>
                <w:sz w:val="20"/>
                <w:szCs w:val="20"/>
              </w:rPr>
              <w:t xml:space="preserve">been advocating </w:t>
            </w:r>
            <w:r w:rsidR="0028382B">
              <w:rPr>
                <w:rFonts w:ascii="Times New Roman" w:hAnsi="Times New Roman" w:cs="Times New Roman"/>
                <w:sz w:val="20"/>
                <w:szCs w:val="20"/>
              </w:rPr>
              <w:t>performance based funding policies</w:t>
            </w:r>
            <w:r w:rsidR="00E2221F">
              <w:rPr>
                <w:rFonts w:ascii="Times New Roman" w:hAnsi="Times New Roman" w:cs="Times New Roman"/>
                <w:sz w:val="20"/>
                <w:szCs w:val="20"/>
              </w:rPr>
              <w:t xml:space="preserve"> for over two decades because they have been increasingly staffed with corporate allies. This trend seems only to have intensified.</w:t>
            </w:r>
            <w:r w:rsidR="0028382B">
              <w:rPr>
                <w:rFonts w:ascii="Times New Roman" w:hAnsi="Times New Roman" w:cs="Times New Roman"/>
                <w:sz w:val="20"/>
                <w:szCs w:val="20"/>
              </w:rPr>
              <w:t xml:space="preserve"> </w:t>
            </w:r>
            <w:r w:rsidRPr="00466B18">
              <w:rPr>
                <w:rFonts w:ascii="Times New Roman" w:hAnsi="Times New Roman" w:cs="Times New Roman"/>
                <w:sz w:val="20"/>
                <w:szCs w:val="20"/>
              </w:rPr>
              <w:t xml:space="preserve">The commission is charged </w:t>
            </w:r>
            <w:r w:rsidR="00E2221F">
              <w:rPr>
                <w:rFonts w:ascii="Times New Roman" w:hAnsi="Times New Roman" w:cs="Times New Roman"/>
                <w:sz w:val="20"/>
                <w:szCs w:val="20"/>
              </w:rPr>
              <w:t xml:space="preserve">by the legislature </w:t>
            </w:r>
            <w:r w:rsidRPr="00466B18">
              <w:rPr>
                <w:rFonts w:ascii="Times New Roman" w:hAnsi="Times New Roman" w:cs="Times New Roman"/>
                <w:sz w:val="20"/>
                <w:szCs w:val="20"/>
              </w:rPr>
              <w:t>with developing a statewide master plan for all public universities. The purpose of the plan is to make Tennessee Higher Education accountable</w:t>
            </w:r>
            <w:r>
              <w:rPr>
                <w:rFonts w:ascii="Times New Roman" w:hAnsi="Times New Roman" w:cs="Times New Roman"/>
                <w:sz w:val="20"/>
                <w:szCs w:val="20"/>
              </w:rPr>
              <w:t xml:space="preserve"> and to allow TN HEI’s to address the state’s economic and workforce needs.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t>University of Tennessee Board of Trustees</w:t>
            </w:r>
            <w:r>
              <w:rPr>
                <w:rFonts w:ascii="Times New Roman" w:hAnsi="Times New Roman" w:cs="Times New Roman"/>
                <w:sz w:val="20"/>
                <w:szCs w:val="20"/>
              </w:rPr>
              <w:t>/</w:t>
            </w:r>
            <w:r w:rsidRPr="005802D2">
              <w:rPr>
                <w:rFonts w:ascii="Times New Roman" w:hAnsi="Times New Roman" w:cs="Times New Roman"/>
                <w:sz w:val="20"/>
                <w:szCs w:val="20"/>
              </w:rPr>
              <w:t xml:space="preserve"> Board of Regents</w:t>
            </w:r>
          </w:p>
        </w:tc>
        <w:tc>
          <w:tcPr>
            <w:tcW w:w="2394" w:type="dxa"/>
          </w:tcPr>
          <w:p w:rsidR="00A56D0E" w:rsidRPr="005F44B9" w:rsidRDefault="000E22F1" w:rsidP="00E2221F">
            <w:pPr>
              <w:rPr>
                <w:rFonts w:ascii="Times New Roman" w:hAnsi="Times New Roman" w:cs="Times New Roman"/>
                <w:sz w:val="24"/>
                <w:szCs w:val="24"/>
              </w:rPr>
            </w:pPr>
            <w:r w:rsidRPr="005F44B9">
              <w:rPr>
                <w:rFonts w:ascii="Times New Roman" w:hAnsi="Times New Roman" w:cs="Times New Roman"/>
                <w:sz w:val="24"/>
                <w:szCs w:val="24"/>
              </w:rPr>
              <w:t>“…with input from the board of regents and the University of Tennessee board of Trustees…</w:t>
            </w:r>
          </w:p>
        </w:tc>
        <w:tc>
          <w:tcPr>
            <w:tcW w:w="1800" w:type="dxa"/>
          </w:tcPr>
          <w:p w:rsidR="00A56D0E" w:rsidRDefault="000E22F1" w:rsidP="00E2221F">
            <w:pPr>
              <w:rPr>
                <w:rFonts w:ascii="Times New Roman" w:hAnsi="Times New Roman" w:cs="Times New Roman"/>
                <w:sz w:val="20"/>
                <w:szCs w:val="20"/>
              </w:rPr>
            </w:pPr>
            <w:r w:rsidRPr="000E22F1">
              <w:rPr>
                <w:rFonts w:ascii="Times New Roman" w:hAnsi="Times New Roman" w:cs="Times New Roman"/>
                <w:sz w:val="20"/>
                <w:szCs w:val="20"/>
              </w:rPr>
              <w:t>First mention: (3.1)</w:t>
            </w:r>
          </w:p>
          <w:p w:rsidR="009A4C4C" w:rsidRDefault="009A4C4C" w:rsidP="00E2221F">
            <w:pPr>
              <w:rPr>
                <w:rFonts w:ascii="Times New Roman" w:hAnsi="Times New Roman" w:cs="Times New Roman"/>
                <w:sz w:val="20"/>
                <w:szCs w:val="20"/>
              </w:rPr>
            </w:pPr>
          </w:p>
          <w:p w:rsidR="009A4C4C" w:rsidRDefault="009A4C4C" w:rsidP="00E2221F">
            <w:pPr>
              <w:rPr>
                <w:rFonts w:ascii="Times New Roman" w:hAnsi="Times New Roman" w:cs="Times New Roman"/>
                <w:sz w:val="20"/>
                <w:szCs w:val="20"/>
              </w:rPr>
            </w:pPr>
            <w:r>
              <w:rPr>
                <w:rFonts w:ascii="Times New Roman" w:hAnsi="Times New Roman" w:cs="Times New Roman"/>
                <w:sz w:val="20"/>
                <w:szCs w:val="20"/>
              </w:rPr>
              <w:t>9 trustee</w:t>
            </w:r>
          </w:p>
          <w:p w:rsidR="009A4C4C" w:rsidRDefault="009A4C4C" w:rsidP="00E2221F">
            <w:pPr>
              <w:rPr>
                <w:rFonts w:ascii="Times New Roman" w:hAnsi="Times New Roman" w:cs="Times New Roman"/>
                <w:sz w:val="20"/>
                <w:szCs w:val="20"/>
              </w:rPr>
            </w:pPr>
          </w:p>
          <w:p w:rsidR="009A4C4C" w:rsidRPr="000E22F1" w:rsidRDefault="009A4C4C" w:rsidP="00E2221F">
            <w:pPr>
              <w:rPr>
                <w:rFonts w:ascii="Times New Roman" w:hAnsi="Times New Roman" w:cs="Times New Roman"/>
                <w:sz w:val="20"/>
                <w:szCs w:val="20"/>
              </w:rPr>
            </w:pPr>
            <w:r>
              <w:rPr>
                <w:rFonts w:ascii="Times New Roman" w:hAnsi="Times New Roman" w:cs="Times New Roman"/>
                <w:sz w:val="20"/>
                <w:szCs w:val="20"/>
              </w:rPr>
              <w:t>15 Regents</w:t>
            </w:r>
          </w:p>
        </w:tc>
        <w:tc>
          <w:tcPr>
            <w:tcW w:w="2988" w:type="dxa"/>
          </w:tcPr>
          <w:p w:rsidR="00A56D0E" w:rsidRPr="00C72FC3" w:rsidRDefault="00C72FC3" w:rsidP="005B6E30">
            <w:pPr>
              <w:rPr>
                <w:rFonts w:ascii="Times New Roman" w:hAnsi="Times New Roman" w:cs="Times New Roman"/>
                <w:sz w:val="20"/>
                <w:szCs w:val="20"/>
              </w:rPr>
            </w:pPr>
            <w:r w:rsidRPr="00C72FC3">
              <w:rPr>
                <w:rFonts w:ascii="Times New Roman" w:hAnsi="Times New Roman" w:cs="Times New Roman"/>
                <w:sz w:val="20"/>
                <w:szCs w:val="20"/>
              </w:rPr>
              <w:t xml:space="preserve">The BOT is the governing body of UT and its members are appointed by the governor. The BOR The BOT and BOR are invited to aid the THEC in crafting the master plan. These entities have more of an </w:t>
            </w:r>
            <w:r w:rsidRPr="00C72FC3">
              <w:rPr>
                <w:rFonts w:ascii="Times New Roman" w:hAnsi="Times New Roman" w:cs="Times New Roman"/>
                <w:sz w:val="20"/>
                <w:szCs w:val="20"/>
              </w:rPr>
              <w:lastRenderedPageBreak/>
              <w:t xml:space="preserve">advising role in the creation of the master plan. </w:t>
            </w:r>
            <w:r w:rsidR="0028382B">
              <w:rPr>
                <w:rFonts w:ascii="Times New Roman" w:hAnsi="Times New Roman" w:cs="Times New Roman"/>
                <w:sz w:val="20"/>
                <w:szCs w:val="20"/>
              </w:rPr>
              <w:t xml:space="preserve"> With these three agencies underneath the legislature, there is a clear hierarchy of power in Educational policy making in TN. </w:t>
            </w:r>
            <w:r w:rsidR="00FE0E8C">
              <w:rPr>
                <w:rFonts w:ascii="Times New Roman" w:hAnsi="Times New Roman" w:cs="Times New Roman"/>
                <w:sz w:val="20"/>
                <w:szCs w:val="20"/>
              </w:rPr>
              <w:t xml:space="preserve">At one point, boards </w:t>
            </w:r>
            <w:r w:rsidR="005B6E30">
              <w:rPr>
                <w:rFonts w:ascii="Times New Roman" w:hAnsi="Times New Roman" w:cs="Times New Roman"/>
                <w:sz w:val="20"/>
                <w:szCs w:val="20"/>
              </w:rPr>
              <w:t>were</w:t>
            </w:r>
            <w:r w:rsidR="00FE0E8C">
              <w:rPr>
                <w:rFonts w:ascii="Times New Roman" w:hAnsi="Times New Roman" w:cs="Times New Roman"/>
                <w:sz w:val="20"/>
                <w:szCs w:val="20"/>
              </w:rPr>
              <w:t xml:space="preserve"> supposed to insulate faculty from the political fallout of operating in republic (</w:t>
            </w:r>
            <w:proofErr w:type="spellStart"/>
            <w:r w:rsidR="005B6E30">
              <w:rPr>
                <w:rFonts w:ascii="Times New Roman" w:hAnsi="Times New Roman" w:cs="Times New Roman"/>
                <w:sz w:val="20"/>
                <w:szCs w:val="20"/>
              </w:rPr>
              <w:t>Zumeta</w:t>
            </w:r>
            <w:proofErr w:type="spellEnd"/>
            <w:r w:rsidR="005B6E30">
              <w:rPr>
                <w:rFonts w:ascii="Times New Roman" w:hAnsi="Times New Roman" w:cs="Times New Roman"/>
                <w:sz w:val="20"/>
                <w:szCs w:val="20"/>
              </w:rPr>
              <w:t>, 2001</w:t>
            </w:r>
            <w:r w:rsidR="0065686A">
              <w:rPr>
                <w:rFonts w:ascii="Times New Roman" w:hAnsi="Times New Roman" w:cs="Times New Roman"/>
                <w:sz w:val="20"/>
                <w:szCs w:val="20"/>
              </w:rPr>
              <w:t xml:space="preserve"> </w:t>
            </w:r>
            <w:r w:rsidR="00FE0E8C">
              <w:rPr>
                <w:rFonts w:ascii="Times New Roman" w:hAnsi="Times New Roman" w:cs="Times New Roman"/>
                <w:sz w:val="20"/>
                <w:szCs w:val="20"/>
              </w:rPr>
              <w:t xml:space="preserve">). Now however, </w:t>
            </w:r>
            <w:r w:rsidR="00E2221F">
              <w:rPr>
                <w:rFonts w:ascii="Times New Roman" w:hAnsi="Times New Roman" w:cs="Times New Roman"/>
                <w:sz w:val="20"/>
                <w:szCs w:val="20"/>
              </w:rPr>
              <w:t>these boards have are increasingly staffed by corporate allies sympathetic to business needs</w:t>
            </w:r>
            <w:r w:rsidR="00FE0E8C">
              <w:rPr>
                <w:rFonts w:ascii="Times New Roman" w:hAnsi="Times New Roman" w:cs="Times New Roman"/>
                <w:sz w:val="20"/>
                <w:szCs w:val="20"/>
              </w:rPr>
              <w:t xml:space="preserve"> (</w:t>
            </w:r>
            <w:proofErr w:type="spellStart"/>
            <w:r w:rsidR="00FE0E8C">
              <w:rPr>
                <w:rFonts w:ascii="Times New Roman" w:hAnsi="Times New Roman" w:cs="Times New Roman"/>
                <w:sz w:val="20"/>
                <w:szCs w:val="20"/>
              </w:rPr>
              <w:t>Zumeta</w:t>
            </w:r>
            <w:proofErr w:type="spellEnd"/>
            <w:r w:rsidR="00FE0E8C">
              <w:rPr>
                <w:rFonts w:ascii="Times New Roman" w:hAnsi="Times New Roman" w:cs="Times New Roman"/>
                <w:sz w:val="20"/>
                <w:szCs w:val="20"/>
              </w:rPr>
              <w:t>, 2001)</w:t>
            </w:r>
            <w:r w:rsidR="00E2221F">
              <w:rPr>
                <w:rFonts w:ascii="Times New Roman" w:hAnsi="Times New Roman" w:cs="Times New Roman"/>
                <w:sz w:val="20"/>
                <w:szCs w:val="20"/>
              </w:rPr>
              <w:t>. This massive centralization of power may be an inhibitor of certain voices contributing to the public good, it may also stymie the creation of bridging structures (Calhoun, 1998)</w:t>
            </w:r>
          </w:p>
        </w:tc>
      </w:tr>
      <w:tr w:rsidR="00A56D0E" w:rsidTr="00EA2766">
        <w:tc>
          <w:tcPr>
            <w:tcW w:w="2394" w:type="dxa"/>
          </w:tcPr>
          <w:p w:rsidR="00A56D0E" w:rsidRPr="005802D2" w:rsidRDefault="00EA2766">
            <w:pPr>
              <w:rPr>
                <w:rFonts w:ascii="Times New Roman" w:hAnsi="Times New Roman" w:cs="Times New Roman"/>
                <w:sz w:val="20"/>
                <w:szCs w:val="20"/>
              </w:rPr>
            </w:pPr>
            <w:r>
              <w:rPr>
                <w:rFonts w:ascii="Times New Roman" w:hAnsi="Times New Roman" w:cs="Times New Roman"/>
                <w:sz w:val="20"/>
                <w:szCs w:val="20"/>
              </w:rPr>
              <w:lastRenderedPageBreak/>
              <w:t xml:space="preserve">Four Year </w:t>
            </w:r>
            <w:r w:rsidR="00A56D0E" w:rsidRPr="005802D2">
              <w:rPr>
                <w:rFonts w:ascii="Times New Roman" w:hAnsi="Times New Roman" w:cs="Times New Roman"/>
                <w:sz w:val="20"/>
                <w:szCs w:val="20"/>
              </w:rPr>
              <w:t xml:space="preserve">Public Institutions </w:t>
            </w:r>
          </w:p>
        </w:tc>
        <w:tc>
          <w:tcPr>
            <w:tcW w:w="2394" w:type="dxa"/>
          </w:tcPr>
          <w:p w:rsidR="00A56D0E" w:rsidRPr="005F44B9" w:rsidRDefault="005F44B9">
            <w:pPr>
              <w:rPr>
                <w:rFonts w:ascii="Times New Roman" w:hAnsi="Times New Roman" w:cs="Times New Roman"/>
                <w:sz w:val="24"/>
                <w:szCs w:val="24"/>
              </w:rPr>
            </w:pPr>
            <w:r w:rsidRPr="005F44B9">
              <w:rPr>
                <w:rFonts w:ascii="Times New Roman" w:hAnsi="Times New Roman" w:cs="Times New Roman"/>
                <w:sz w:val="24"/>
                <w:szCs w:val="24"/>
              </w:rPr>
              <w:t>“The commission shall engage public universities, community colleges, and technology centers for input during the creation of the master plan.”</w:t>
            </w:r>
          </w:p>
        </w:tc>
        <w:tc>
          <w:tcPr>
            <w:tcW w:w="1800" w:type="dxa"/>
          </w:tcPr>
          <w:p w:rsidR="00A56D0E" w:rsidRDefault="000E22F1">
            <w:pPr>
              <w:rPr>
                <w:rFonts w:ascii="Times New Roman" w:hAnsi="Times New Roman" w:cs="Times New Roman"/>
                <w:sz w:val="20"/>
                <w:szCs w:val="20"/>
              </w:rPr>
            </w:pPr>
            <w:r w:rsidRPr="000E22F1">
              <w:rPr>
                <w:rFonts w:ascii="Times New Roman" w:hAnsi="Times New Roman" w:cs="Times New Roman"/>
                <w:sz w:val="20"/>
                <w:szCs w:val="20"/>
              </w:rPr>
              <w:t>First mention: (3.1)</w:t>
            </w:r>
          </w:p>
          <w:p w:rsidR="00F338E7" w:rsidRDefault="00F338E7">
            <w:pPr>
              <w:rPr>
                <w:rFonts w:ascii="Times New Roman" w:hAnsi="Times New Roman" w:cs="Times New Roman"/>
                <w:sz w:val="20"/>
                <w:szCs w:val="20"/>
              </w:rPr>
            </w:pPr>
          </w:p>
          <w:p w:rsidR="00F338E7" w:rsidRDefault="00F338E7">
            <w:pPr>
              <w:rPr>
                <w:rFonts w:ascii="Times New Roman" w:hAnsi="Times New Roman" w:cs="Times New Roman"/>
                <w:sz w:val="24"/>
                <w:szCs w:val="24"/>
              </w:rPr>
            </w:pPr>
            <w:r>
              <w:rPr>
                <w:rFonts w:ascii="Times New Roman" w:hAnsi="Times New Roman" w:cs="Times New Roman"/>
                <w:sz w:val="20"/>
                <w:szCs w:val="20"/>
              </w:rPr>
              <w:t>15</w:t>
            </w:r>
          </w:p>
        </w:tc>
        <w:tc>
          <w:tcPr>
            <w:tcW w:w="2988" w:type="dxa"/>
          </w:tcPr>
          <w:p w:rsidR="00A56D0E" w:rsidRDefault="00EA2766" w:rsidP="00CE7FAC">
            <w:pPr>
              <w:rPr>
                <w:rFonts w:ascii="Times New Roman" w:hAnsi="Times New Roman" w:cs="Times New Roman"/>
                <w:sz w:val="20"/>
                <w:szCs w:val="20"/>
              </w:rPr>
            </w:pPr>
            <w:r>
              <w:rPr>
                <w:rFonts w:ascii="Times New Roman" w:hAnsi="Times New Roman" w:cs="Times New Roman"/>
                <w:sz w:val="20"/>
                <w:szCs w:val="20"/>
              </w:rPr>
              <w:t>Four year p</w:t>
            </w:r>
            <w:r w:rsidR="00E2221F" w:rsidRPr="00FF0D28">
              <w:rPr>
                <w:rFonts w:ascii="Times New Roman" w:hAnsi="Times New Roman" w:cs="Times New Roman"/>
                <w:sz w:val="20"/>
                <w:szCs w:val="20"/>
              </w:rPr>
              <w:t>ublic institutions are largely viewed as passive acto</w:t>
            </w:r>
            <w:r w:rsidR="00FF0D28" w:rsidRPr="00FF0D28">
              <w:rPr>
                <w:rFonts w:ascii="Times New Roman" w:hAnsi="Times New Roman" w:cs="Times New Roman"/>
                <w:sz w:val="20"/>
                <w:szCs w:val="20"/>
              </w:rPr>
              <w:t>rs by TN policymakers. The THEC is supposed to solicit i</w:t>
            </w:r>
            <w:r>
              <w:rPr>
                <w:rFonts w:ascii="Times New Roman" w:hAnsi="Times New Roman" w:cs="Times New Roman"/>
                <w:sz w:val="20"/>
                <w:szCs w:val="20"/>
              </w:rPr>
              <w:t>nput of public HEI’s, but this</w:t>
            </w:r>
            <w:r w:rsidR="00FF0D28" w:rsidRPr="00FF0D28">
              <w:rPr>
                <w:rFonts w:ascii="Times New Roman" w:hAnsi="Times New Roman" w:cs="Times New Roman"/>
                <w:sz w:val="20"/>
                <w:szCs w:val="20"/>
              </w:rPr>
              <w:t xml:space="preserve"> input is supposed to come subsequent to the input of BOR and BOT. </w:t>
            </w:r>
            <w:r>
              <w:rPr>
                <w:rFonts w:ascii="Times New Roman" w:hAnsi="Times New Roman" w:cs="Times New Roman"/>
                <w:sz w:val="20"/>
                <w:szCs w:val="20"/>
              </w:rPr>
              <w:t>Further, the four year HEI</w:t>
            </w:r>
            <w:r w:rsidR="00D653D1">
              <w:rPr>
                <w:rFonts w:ascii="Times New Roman" w:hAnsi="Times New Roman" w:cs="Times New Roman"/>
                <w:sz w:val="20"/>
                <w:szCs w:val="20"/>
              </w:rPr>
              <w:t>’s</w:t>
            </w:r>
            <w:r>
              <w:rPr>
                <w:rFonts w:ascii="Times New Roman" w:hAnsi="Times New Roman" w:cs="Times New Roman"/>
                <w:sz w:val="20"/>
                <w:szCs w:val="20"/>
              </w:rPr>
              <w:t xml:space="preserve"> are not supposed to contribute input to the question of accountability. The method of accountability has already been decided: outcome based performance. The four year institutions are supposed </w:t>
            </w:r>
            <w:r w:rsidR="00F755B0">
              <w:rPr>
                <w:rFonts w:ascii="Times New Roman" w:hAnsi="Times New Roman" w:cs="Times New Roman"/>
                <w:sz w:val="20"/>
                <w:szCs w:val="20"/>
              </w:rPr>
              <w:t>to work within the confines of performance</w:t>
            </w:r>
            <w:r w:rsidR="00CE7FAC">
              <w:rPr>
                <w:rFonts w:ascii="Times New Roman" w:hAnsi="Times New Roman" w:cs="Times New Roman"/>
                <w:sz w:val="20"/>
                <w:szCs w:val="20"/>
              </w:rPr>
              <w:t xml:space="preserve"> and outcomes funding and not offer alternative models of accountability. </w:t>
            </w:r>
            <w:r w:rsidR="00FE0E8C">
              <w:rPr>
                <w:rFonts w:ascii="Times New Roman" w:hAnsi="Times New Roman" w:cs="Times New Roman"/>
                <w:sz w:val="20"/>
                <w:szCs w:val="20"/>
              </w:rPr>
              <w:t xml:space="preserve">Yet, as </w:t>
            </w:r>
            <w:proofErr w:type="spellStart"/>
            <w:r w:rsidR="00FE0E8C">
              <w:rPr>
                <w:rFonts w:ascii="Times New Roman" w:hAnsi="Times New Roman" w:cs="Times New Roman"/>
                <w:sz w:val="20"/>
                <w:szCs w:val="20"/>
              </w:rPr>
              <w:t>Zumeta</w:t>
            </w:r>
            <w:proofErr w:type="spellEnd"/>
            <w:r w:rsidR="00FE0E8C">
              <w:rPr>
                <w:rFonts w:ascii="Times New Roman" w:hAnsi="Times New Roman" w:cs="Times New Roman"/>
                <w:sz w:val="20"/>
                <w:szCs w:val="20"/>
              </w:rPr>
              <w:t xml:space="preserve"> (2011) argues, HEI’s have to tell policymakers and the general public what they </w:t>
            </w:r>
            <w:r w:rsidR="00FE0E8C" w:rsidRPr="00FE0E8C">
              <w:rPr>
                <w:rFonts w:ascii="Times New Roman" w:hAnsi="Times New Roman" w:cs="Times New Roman"/>
                <w:i/>
                <w:sz w:val="20"/>
                <w:szCs w:val="20"/>
              </w:rPr>
              <w:t xml:space="preserve">should </w:t>
            </w:r>
            <w:r w:rsidR="00FE0E8C">
              <w:rPr>
                <w:rFonts w:ascii="Times New Roman" w:hAnsi="Times New Roman" w:cs="Times New Roman"/>
                <w:sz w:val="20"/>
                <w:szCs w:val="20"/>
              </w:rPr>
              <w:t>desire for accountability purposes.</w:t>
            </w:r>
          </w:p>
          <w:p w:rsidR="005F44B9" w:rsidRDefault="005F44B9" w:rsidP="00CE7FAC">
            <w:pPr>
              <w:rPr>
                <w:rFonts w:ascii="Times New Roman" w:hAnsi="Times New Roman" w:cs="Times New Roman"/>
                <w:sz w:val="20"/>
                <w:szCs w:val="20"/>
              </w:rPr>
            </w:pPr>
          </w:p>
          <w:p w:rsidR="005F44B9" w:rsidRPr="00FF0D28" w:rsidRDefault="005F44B9" w:rsidP="00FE0E8C">
            <w:pPr>
              <w:rPr>
                <w:rFonts w:ascii="Times New Roman" w:hAnsi="Times New Roman" w:cs="Times New Roman"/>
                <w:sz w:val="20"/>
                <w:szCs w:val="20"/>
              </w:rPr>
            </w:pPr>
            <w:r>
              <w:rPr>
                <w:rFonts w:ascii="Times New Roman" w:hAnsi="Times New Roman" w:cs="Times New Roman"/>
                <w:sz w:val="20"/>
                <w:szCs w:val="20"/>
              </w:rPr>
              <w:t xml:space="preserve">However, there is one clause which does give a degree of power or at least latitude to all HEI to carry out their missions. Section 3.3 reads that nothing in the act can prohibit any institution from pursing its mission. However, what if an institutional mission </w:t>
            </w:r>
            <w:r>
              <w:rPr>
                <w:rFonts w:ascii="Times New Roman" w:hAnsi="Times New Roman" w:cs="Times New Roman"/>
                <w:sz w:val="20"/>
                <w:szCs w:val="20"/>
              </w:rPr>
              <w:lastRenderedPageBreak/>
              <w:t xml:space="preserve">comes into conflict with PBF, such as a liberal arts based mission? Thus this power dynamic is ambiguous. </w:t>
            </w:r>
            <w:r w:rsidR="00B45652">
              <w:rPr>
                <w:rFonts w:ascii="Times New Roman" w:hAnsi="Times New Roman" w:cs="Times New Roman"/>
                <w:sz w:val="20"/>
                <w:szCs w:val="20"/>
              </w:rPr>
              <w:t xml:space="preserve">In addition, this clause may also empower TN HEI’s to pursue KM and other public service goals (Cooper, 2009).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lastRenderedPageBreak/>
              <w:t>Community Colleges</w:t>
            </w:r>
          </w:p>
        </w:tc>
        <w:tc>
          <w:tcPr>
            <w:tcW w:w="2394" w:type="dxa"/>
          </w:tcPr>
          <w:p w:rsidR="00A56D0E" w:rsidRPr="005F44B9" w:rsidRDefault="005F44B9">
            <w:pPr>
              <w:rPr>
                <w:rFonts w:ascii="Times New Roman" w:hAnsi="Times New Roman" w:cs="Times New Roman"/>
                <w:sz w:val="24"/>
                <w:szCs w:val="24"/>
              </w:rPr>
            </w:pPr>
            <w:r w:rsidRPr="005F44B9">
              <w:rPr>
                <w:rFonts w:ascii="Times New Roman" w:hAnsi="Times New Roman" w:cs="Times New Roman"/>
                <w:sz w:val="24"/>
                <w:szCs w:val="24"/>
              </w:rPr>
              <w:t>“The commission shall engage public universities, community colleges, and technology centers for input during the creation of the master plan.”</w:t>
            </w:r>
          </w:p>
        </w:tc>
        <w:tc>
          <w:tcPr>
            <w:tcW w:w="1800" w:type="dxa"/>
          </w:tcPr>
          <w:p w:rsidR="00A56D0E" w:rsidRDefault="000E22F1">
            <w:pPr>
              <w:rPr>
                <w:rFonts w:ascii="Times New Roman" w:hAnsi="Times New Roman" w:cs="Times New Roman"/>
                <w:sz w:val="20"/>
                <w:szCs w:val="20"/>
              </w:rPr>
            </w:pPr>
            <w:r w:rsidRPr="000E22F1">
              <w:rPr>
                <w:rFonts w:ascii="Times New Roman" w:hAnsi="Times New Roman" w:cs="Times New Roman"/>
                <w:sz w:val="20"/>
                <w:szCs w:val="20"/>
              </w:rPr>
              <w:t>First mention: (3.1)</w:t>
            </w:r>
          </w:p>
          <w:p w:rsidR="00F338E7" w:rsidRDefault="00F338E7">
            <w:pPr>
              <w:rPr>
                <w:rFonts w:ascii="Times New Roman" w:hAnsi="Times New Roman" w:cs="Times New Roman"/>
                <w:sz w:val="20"/>
                <w:szCs w:val="20"/>
              </w:rPr>
            </w:pPr>
          </w:p>
          <w:p w:rsidR="00F338E7" w:rsidRDefault="00F338E7">
            <w:pPr>
              <w:rPr>
                <w:rFonts w:ascii="Times New Roman" w:hAnsi="Times New Roman" w:cs="Times New Roman"/>
                <w:sz w:val="24"/>
                <w:szCs w:val="24"/>
              </w:rPr>
            </w:pPr>
            <w:r>
              <w:rPr>
                <w:rFonts w:ascii="Times New Roman" w:hAnsi="Times New Roman" w:cs="Times New Roman"/>
                <w:sz w:val="20"/>
                <w:szCs w:val="20"/>
              </w:rPr>
              <w:t>19</w:t>
            </w:r>
          </w:p>
        </w:tc>
        <w:tc>
          <w:tcPr>
            <w:tcW w:w="2988" w:type="dxa"/>
          </w:tcPr>
          <w:p w:rsidR="00A56D0E" w:rsidRPr="00381A06" w:rsidRDefault="00CE7FAC" w:rsidP="00832051">
            <w:pPr>
              <w:rPr>
                <w:rFonts w:ascii="Times New Roman" w:hAnsi="Times New Roman" w:cs="Times New Roman"/>
                <w:sz w:val="20"/>
                <w:szCs w:val="20"/>
              </w:rPr>
            </w:pPr>
            <w:r w:rsidRPr="00381A06">
              <w:rPr>
                <w:rFonts w:ascii="Times New Roman" w:hAnsi="Times New Roman" w:cs="Times New Roman"/>
                <w:sz w:val="20"/>
                <w:szCs w:val="20"/>
              </w:rPr>
              <w:t xml:space="preserve">Community Colleges perhaps are the most restricted entities in the state of TN under this policy. </w:t>
            </w:r>
            <w:r w:rsidR="00E50D69" w:rsidRPr="00381A06">
              <w:rPr>
                <w:rFonts w:ascii="Times New Roman" w:hAnsi="Times New Roman" w:cs="Times New Roman"/>
                <w:sz w:val="20"/>
                <w:szCs w:val="20"/>
              </w:rPr>
              <w:t xml:space="preserve">The TN PBF policy creates a brand new framework </w:t>
            </w:r>
            <w:r w:rsidR="004F11E2" w:rsidRPr="00381A06">
              <w:rPr>
                <w:rFonts w:ascii="Times New Roman" w:hAnsi="Times New Roman" w:cs="Times New Roman"/>
                <w:sz w:val="20"/>
                <w:szCs w:val="20"/>
              </w:rPr>
              <w:t xml:space="preserve">to unify, centralize and streamline community college operations and offerings. Community Colleges </w:t>
            </w:r>
            <w:r w:rsidR="00C57E63" w:rsidRPr="00381A06">
              <w:rPr>
                <w:rFonts w:ascii="Times New Roman" w:hAnsi="Times New Roman" w:cs="Times New Roman"/>
                <w:sz w:val="20"/>
                <w:szCs w:val="20"/>
              </w:rPr>
              <w:t xml:space="preserve">are integral to the public good because </w:t>
            </w:r>
            <w:r w:rsidR="00832051" w:rsidRPr="00381A06">
              <w:rPr>
                <w:rFonts w:ascii="Times New Roman" w:hAnsi="Times New Roman" w:cs="Times New Roman"/>
                <w:sz w:val="20"/>
                <w:szCs w:val="20"/>
              </w:rPr>
              <w:t xml:space="preserve">they can give educational </w:t>
            </w:r>
            <w:r w:rsidR="00381A06" w:rsidRPr="00381A06">
              <w:rPr>
                <w:rFonts w:ascii="Times New Roman" w:hAnsi="Times New Roman" w:cs="Times New Roman"/>
                <w:sz w:val="20"/>
                <w:szCs w:val="20"/>
              </w:rPr>
              <w:t>opportunities</w:t>
            </w:r>
            <w:r w:rsidR="00832051" w:rsidRPr="00381A06">
              <w:rPr>
                <w:rFonts w:ascii="Times New Roman" w:hAnsi="Times New Roman" w:cs="Times New Roman"/>
                <w:sz w:val="20"/>
                <w:szCs w:val="20"/>
              </w:rPr>
              <w:t xml:space="preserve"> for transfer and vocational training for many who </w:t>
            </w:r>
            <w:r w:rsidR="00381A06" w:rsidRPr="00381A06">
              <w:rPr>
                <w:rFonts w:ascii="Times New Roman" w:hAnsi="Times New Roman" w:cs="Times New Roman"/>
                <w:sz w:val="20"/>
                <w:szCs w:val="20"/>
              </w:rPr>
              <w:t>may not have the chance (</w:t>
            </w:r>
            <w:proofErr w:type="spellStart"/>
            <w:r w:rsidR="00381A06" w:rsidRPr="00381A06">
              <w:rPr>
                <w:rFonts w:ascii="Times New Roman" w:hAnsi="Times New Roman" w:cs="Times New Roman"/>
                <w:sz w:val="20"/>
                <w:szCs w:val="20"/>
              </w:rPr>
              <w:t>Brint</w:t>
            </w:r>
            <w:proofErr w:type="spellEnd"/>
            <w:r w:rsidR="00381A06" w:rsidRPr="00381A06">
              <w:rPr>
                <w:rFonts w:ascii="Times New Roman" w:hAnsi="Times New Roman" w:cs="Times New Roman"/>
                <w:sz w:val="20"/>
                <w:szCs w:val="20"/>
              </w:rPr>
              <w:t xml:space="preserve"> &amp; </w:t>
            </w:r>
            <w:proofErr w:type="spellStart"/>
            <w:r w:rsidR="00381A06" w:rsidRPr="00381A06">
              <w:rPr>
                <w:rFonts w:ascii="Times New Roman" w:hAnsi="Times New Roman" w:cs="Times New Roman"/>
                <w:sz w:val="20"/>
                <w:szCs w:val="20"/>
              </w:rPr>
              <w:t>Karabel</w:t>
            </w:r>
            <w:proofErr w:type="spellEnd"/>
            <w:r w:rsidR="00381A06" w:rsidRPr="00381A06">
              <w:rPr>
                <w:rFonts w:ascii="Times New Roman" w:hAnsi="Times New Roman" w:cs="Times New Roman"/>
                <w:sz w:val="20"/>
                <w:szCs w:val="20"/>
              </w:rPr>
              <w:t xml:space="preserve">, 1989). Thus it is imperative that centralization does not restrict their ability to provide this.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t>Technology Centers</w:t>
            </w:r>
          </w:p>
        </w:tc>
        <w:tc>
          <w:tcPr>
            <w:tcW w:w="2394" w:type="dxa"/>
          </w:tcPr>
          <w:p w:rsidR="00A56D0E" w:rsidRPr="005F44B9" w:rsidRDefault="005F44B9">
            <w:pPr>
              <w:rPr>
                <w:rFonts w:ascii="Times New Roman" w:hAnsi="Times New Roman" w:cs="Times New Roman"/>
                <w:sz w:val="24"/>
                <w:szCs w:val="24"/>
              </w:rPr>
            </w:pPr>
            <w:r w:rsidRPr="005F44B9">
              <w:rPr>
                <w:rFonts w:ascii="Times New Roman" w:hAnsi="Times New Roman" w:cs="Times New Roman"/>
                <w:sz w:val="24"/>
                <w:szCs w:val="24"/>
              </w:rPr>
              <w:t>“The commission shall engage public universities, community colleges, and technology centers for input during the creation of the master plan.”</w:t>
            </w:r>
          </w:p>
        </w:tc>
        <w:tc>
          <w:tcPr>
            <w:tcW w:w="1800" w:type="dxa"/>
          </w:tcPr>
          <w:p w:rsidR="00A56D0E" w:rsidRDefault="000E22F1">
            <w:pPr>
              <w:rPr>
                <w:rFonts w:ascii="Times New Roman" w:hAnsi="Times New Roman" w:cs="Times New Roman"/>
                <w:sz w:val="20"/>
                <w:szCs w:val="20"/>
              </w:rPr>
            </w:pPr>
            <w:r w:rsidRPr="000E22F1">
              <w:rPr>
                <w:rFonts w:ascii="Times New Roman" w:hAnsi="Times New Roman" w:cs="Times New Roman"/>
                <w:sz w:val="20"/>
                <w:szCs w:val="20"/>
              </w:rPr>
              <w:t>First mention: (3.1)</w:t>
            </w:r>
          </w:p>
          <w:p w:rsidR="00F338E7" w:rsidRDefault="00F338E7">
            <w:pPr>
              <w:rPr>
                <w:rFonts w:ascii="Times New Roman" w:hAnsi="Times New Roman" w:cs="Times New Roman"/>
                <w:sz w:val="20"/>
                <w:szCs w:val="20"/>
              </w:rPr>
            </w:pPr>
          </w:p>
          <w:p w:rsidR="00F338E7" w:rsidRDefault="00F338E7">
            <w:pPr>
              <w:rPr>
                <w:rFonts w:ascii="Times New Roman" w:hAnsi="Times New Roman" w:cs="Times New Roman"/>
                <w:sz w:val="24"/>
                <w:szCs w:val="24"/>
              </w:rPr>
            </w:pPr>
            <w:r>
              <w:rPr>
                <w:rFonts w:ascii="Times New Roman" w:hAnsi="Times New Roman" w:cs="Times New Roman"/>
                <w:sz w:val="20"/>
                <w:szCs w:val="20"/>
              </w:rPr>
              <w:t>6</w:t>
            </w:r>
          </w:p>
        </w:tc>
        <w:tc>
          <w:tcPr>
            <w:tcW w:w="2988" w:type="dxa"/>
          </w:tcPr>
          <w:p w:rsidR="00A56D0E" w:rsidRPr="00381A06" w:rsidRDefault="00381A06" w:rsidP="00381A06">
            <w:pPr>
              <w:rPr>
                <w:rFonts w:ascii="Times New Roman" w:hAnsi="Times New Roman" w:cs="Times New Roman"/>
                <w:sz w:val="20"/>
                <w:szCs w:val="20"/>
              </w:rPr>
            </w:pPr>
            <w:r w:rsidRPr="00381A06">
              <w:rPr>
                <w:rFonts w:ascii="Times New Roman" w:hAnsi="Times New Roman" w:cs="Times New Roman"/>
                <w:sz w:val="20"/>
                <w:szCs w:val="20"/>
              </w:rPr>
              <w:t>Technology centers are given more autonomy than any other institution in the policy, because the THEC does not control their budgets or funding. Again, this speaks to the fact that technology, STEM and workforce training are prized facets of the public good and po</w:t>
            </w:r>
            <w:r>
              <w:rPr>
                <w:rFonts w:ascii="Times New Roman" w:hAnsi="Times New Roman" w:cs="Times New Roman"/>
                <w:sz w:val="20"/>
                <w:szCs w:val="20"/>
              </w:rPr>
              <w:t xml:space="preserve">licymakers promote these facets, usually at the expense of the humanities </w:t>
            </w:r>
            <w:r w:rsidRPr="00381A06">
              <w:rPr>
                <w:rFonts w:ascii="Times New Roman" w:hAnsi="Times New Roman" w:cs="Times New Roman"/>
                <w:sz w:val="20"/>
                <w:szCs w:val="20"/>
              </w:rPr>
              <w:t xml:space="preserve">(Calhoun, 1998; </w:t>
            </w:r>
            <w:proofErr w:type="spellStart"/>
            <w:r w:rsidRPr="00381A06">
              <w:rPr>
                <w:rFonts w:ascii="Times New Roman" w:hAnsi="Times New Roman" w:cs="Times New Roman"/>
                <w:sz w:val="20"/>
                <w:szCs w:val="20"/>
              </w:rPr>
              <w:t>Mallot</w:t>
            </w:r>
            <w:proofErr w:type="spellEnd"/>
            <w:r w:rsidRPr="00381A06">
              <w:rPr>
                <w:rFonts w:ascii="Times New Roman" w:hAnsi="Times New Roman" w:cs="Times New Roman"/>
                <w:sz w:val="20"/>
                <w:szCs w:val="20"/>
              </w:rPr>
              <w:t xml:space="preserve">, Hill &amp; </w:t>
            </w:r>
            <w:proofErr w:type="spellStart"/>
            <w:r w:rsidRPr="00381A06">
              <w:rPr>
                <w:rFonts w:ascii="Times New Roman" w:hAnsi="Times New Roman" w:cs="Times New Roman"/>
                <w:sz w:val="20"/>
                <w:szCs w:val="20"/>
              </w:rPr>
              <w:t>Banefield</w:t>
            </w:r>
            <w:proofErr w:type="spellEnd"/>
            <w:r w:rsidRPr="00381A06">
              <w:rPr>
                <w:rFonts w:ascii="Times New Roman" w:hAnsi="Times New Roman" w:cs="Times New Roman"/>
                <w:sz w:val="20"/>
                <w:szCs w:val="20"/>
              </w:rPr>
              <w:t xml:space="preserve">, 2013; </w:t>
            </w:r>
            <w:proofErr w:type="spellStart"/>
            <w:r w:rsidRPr="00381A06">
              <w:rPr>
                <w:rFonts w:ascii="Times New Roman" w:hAnsi="Times New Roman" w:cs="Times New Roman"/>
                <w:sz w:val="20"/>
                <w:szCs w:val="20"/>
              </w:rPr>
              <w:t>Vestrich</w:t>
            </w:r>
            <w:proofErr w:type="spellEnd"/>
            <w:r w:rsidRPr="00381A06">
              <w:rPr>
                <w:rFonts w:ascii="Times New Roman" w:hAnsi="Times New Roman" w:cs="Times New Roman"/>
                <w:sz w:val="20"/>
                <w:szCs w:val="20"/>
              </w:rPr>
              <w:t xml:space="preserve">, 2008; Wolfe, 1998).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t>Tennessee Citizens</w:t>
            </w:r>
          </w:p>
        </w:tc>
        <w:tc>
          <w:tcPr>
            <w:tcW w:w="2394" w:type="dxa"/>
          </w:tcPr>
          <w:p w:rsidR="00A56D0E" w:rsidRPr="005F44B9" w:rsidRDefault="005F44B9">
            <w:pPr>
              <w:rPr>
                <w:rFonts w:ascii="Times New Roman" w:hAnsi="Times New Roman" w:cs="Times New Roman"/>
                <w:sz w:val="24"/>
                <w:szCs w:val="24"/>
              </w:rPr>
            </w:pPr>
            <w:r w:rsidRPr="005F44B9">
              <w:rPr>
                <w:rFonts w:ascii="Times New Roman" w:hAnsi="Times New Roman" w:cs="Times New Roman"/>
                <w:sz w:val="24"/>
                <w:szCs w:val="24"/>
              </w:rPr>
              <w:t>“The commission shall construct a statewide master plan that directs higher education to be accountable for increasing the educational attainment levels of Tennesseans.”</w:t>
            </w:r>
          </w:p>
        </w:tc>
        <w:tc>
          <w:tcPr>
            <w:tcW w:w="1800" w:type="dxa"/>
          </w:tcPr>
          <w:p w:rsidR="00A56D0E" w:rsidRDefault="000E22F1">
            <w:pPr>
              <w:rPr>
                <w:rFonts w:ascii="Times New Roman" w:hAnsi="Times New Roman" w:cs="Times New Roman"/>
                <w:sz w:val="20"/>
                <w:szCs w:val="20"/>
              </w:rPr>
            </w:pPr>
            <w:r w:rsidRPr="000E22F1">
              <w:rPr>
                <w:rFonts w:ascii="Times New Roman" w:hAnsi="Times New Roman" w:cs="Times New Roman"/>
                <w:sz w:val="20"/>
                <w:szCs w:val="20"/>
              </w:rPr>
              <w:t>First mention: (3.1)</w:t>
            </w:r>
          </w:p>
          <w:p w:rsidR="00F338E7" w:rsidRDefault="00F338E7">
            <w:pPr>
              <w:rPr>
                <w:rFonts w:ascii="Times New Roman" w:hAnsi="Times New Roman" w:cs="Times New Roman"/>
                <w:sz w:val="20"/>
                <w:szCs w:val="20"/>
              </w:rPr>
            </w:pPr>
          </w:p>
          <w:p w:rsidR="00F338E7" w:rsidRDefault="00F338E7">
            <w:pPr>
              <w:rPr>
                <w:rFonts w:ascii="Times New Roman" w:hAnsi="Times New Roman" w:cs="Times New Roman"/>
                <w:sz w:val="24"/>
                <w:szCs w:val="24"/>
              </w:rPr>
            </w:pPr>
            <w:r>
              <w:rPr>
                <w:rFonts w:ascii="Times New Roman" w:hAnsi="Times New Roman" w:cs="Times New Roman"/>
                <w:sz w:val="20"/>
                <w:szCs w:val="20"/>
              </w:rPr>
              <w:t>2</w:t>
            </w:r>
          </w:p>
        </w:tc>
        <w:tc>
          <w:tcPr>
            <w:tcW w:w="2988" w:type="dxa"/>
          </w:tcPr>
          <w:p w:rsidR="00A56D0E" w:rsidRPr="00633B8A" w:rsidRDefault="00AE1B5D" w:rsidP="00D653D1">
            <w:pPr>
              <w:rPr>
                <w:rFonts w:ascii="Times New Roman" w:hAnsi="Times New Roman" w:cs="Times New Roman"/>
                <w:sz w:val="20"/>
                <w:szCs w:val="20"/>
              </w:rPr>
            </w:pPr>
            <w:r w:rsidRPr="00633B8A">
              <w:rPr>
                <w:rFonts w:ascii="Times New Roman" w:hAnsi="Times New Roman" w:cs="Times New Roman"/>
                <w:sz w:val="20"/>
                <w:szCs w:val="20"/>
              </w:rPr>
              <w:t>One of the major purposes of the policy is to hold TN HEI’s accountable for increasing the level</w:t>
            </w:r>
            <w:r w:rsidR="00633B8A">
              <w:rPr>
                <w:rFonts w:ascii="Times New Roman" w:hAnsi="Times New Roman" w:cs="Times New Roman"/>
                <w:sz w:val="20"/>
                <w:szCs w:val="20"/>
              </w:rPr>
              <w:t xml:space="preserve"> of</w:t>
            </w:r>
            <w:r w:rsidRPr="00633B8A">
              <w:rPr>
                <w:rFonts w:ascii="Times New Roman" w:hAnsi="Times New Roman" w:cs="Times New Roman"/>
                <w:sz w:val="20"/>
                <w:szCs w:val="20"/>
              </w:rPr>
              <w:t xml:space="preserve"> educational attainment</w:t>
            </w:r>
            <w:r w:rsidR="00987D2B" w:rsidRPr="00633B8A">
              <w:rPr>
                <w:rFonts w:ascii="Times New Roman" w:hAnsi="Times New Roman" w:cs="Times New Roman"/>
                <w:sz w:val="20"/>
                <w:szCs w:val="20"/>
              </w:rPr>
              <w:t xml:space="preserve"> of Tennessee citizens. </w:t>
            </w:r>
            <w:r w:rsidR="008C0383">
              <w:rPr>
                <w:rFonts w:ascii="Times New Roman" w:hAnsi="Times New Roman" w:cs="Times New Roman"/>
                <w:sz w:val="20"/>
                <w:szCs w:val="20"/>
              </w:rPr>
              <w:t>It</w:t>
            </w:r>
            <w:r w:rsidR="00987D2B" w:rsidRPr="00633B8A">
              <w:rPr>
                <w:rFonts w:ascii="Times New Roman" w:hAnsi="Times New Roman" w:cs="Times New Roman"/>
                <w:sz w:val="20"/>
                <w:szCs w:val="20"/>
              </w:rPr>
              <w:t xml:space="preserve"> is assumed that increasing the number</w:t>
            </w:r>
            <w:r w:rsidR="00633B8A" w:rsidRPr="00633B8A">
              <w:rPr>
                <w:rFonts w:ascii="Times New Roman" w:hAnsi="Times New Roman" w:cs="Times New Roman"/>
                <w:sz w:val="20"/>
                <w:szCs w:val="20"/>
              </w:rPr>
              <w:t xml:space="preserve"> </w:t>
            </w:r>
            <w:r w:rsidR="00414F8E">
              <w:rPr>
                <w:rFonts w:ascii="Times New Roman" w:hAnsi="Times New Roman" w:cs="Times New Roman"/>
                <w:sz w:val="20"/>
                <w:szCs w:val="20"/>
              </w:rPr>
              <w:t xml:space="preserve">of </w:t>
            </w:r>
            <w:r w:rsidR="00633B8A" w:rsidRPr="00633B8A">
              <w:rPr>
                <w:rFonts w:ascii="Times New Roman" w:hAnsi="Times New Roman" w:cs="Times New Roman"/>
                <w:sz w:val="20"/>
                <w:szCs w:val="20"/>
              </w:rPr>
              <w:t>degrees is the surest way</w:t>
            </w:r>
            <w:r w:rsidR="00633B8A">
              <w:rPr>
                <w:rFonts w:ascii="Times New Roman" w:hAnsi="Times New Roman" w:cs="Times New Roman"/>
                <w:sz w:val="20"/>
                <w:szCs w:val="20"/>
              </w:rPr>
              <w:t xml:space="preserve"> to educate the citizens</w:t>
            </w:r>
            <w:r w:rsidR="00FE377B">
              <w:rPr>
                <w:rFonts w:ascii="Times New Roman" w:hAnsi="Times New Roman" w:cs="Times New Roman"/>
                <w:sz w:val="20"/>
                <w:szCs w:val="20"/>
              </w:rPr>
              <w:t xml:space="preserve"> and increase the public good</w:t>
            </w:r>
            <w:r w:rsidR="00633B8A">
              <w:rPr>
                <w:rFonts w:ascii="Times New Roman" w:hAnsi="Times New Roman" w:cs="Times New Roman"/>
                <w:sz w:val="20"/>
                <w:szCs w:val="20"/>
              </w:rPr>
              <w:t xml:space="preserve">. </w:t>
            </w:r>
            <w:r w:rsidR="008C0383">
              <w:rPr>
                <w:rFonts w:ascii="Times New Roman" w:hAnsi="Times New Roman" w:cs="Times New Roman"/>
                <w:sz w:val="20"/>
                <w:szCs w:val="20"/>
              </w:rPr>
              <w:t xml:space="preserve">As McMahon (2009) has shown however, a myopic focus on quantifiable outcomes can and usually does </w:t>
            </w:r>
            <w:r w:rsidR="008C0383">
              <w:rPr>
                <w:rFonts w:ascii="Times New Roman" w:hAnsi="Times New Roman" w:cs="Times New Roman"/>
                <w:sz w:val="20"/>
                <w:szCs w:val="20"/>
              </w:rPr>
              <w:lastRenderedPageBreak/>
              <w:t xml:space="preserve">blind </w:t>
            </w:r>
            <w:r w:rsidR="00414F8E">
              <w:rPr>
                <w:rFonts w:ascii="Times New Roman" w:hAnsi="Times New Roman" w:cs="Times New Roman"/>
                <w:sz w:val="20"/>
                <w:szCs w:val="20"/>
              </w:rPr>
              <w:t xml:space="preserve">policymakers and citizens to </w:t>
            </w:r>
            <w:r w:rsidR="008C0383">
              <w:rPr>
                <w:rFonts w:ascii="Times New Roman" w:hAnsi="Times New Roman" w:cs="Times New Roman"/>
                <w:sz w:val="20"/>
                <w:szCs w:val="20"/>
              </w:rPr>
              <w:t xml:space="preserve">the larger social </w:t>
            </w:r>
            <w:r w:rsidR="00414F8E">
              <w:rPr>
                <w:rFonts w:ascii="Times New Roman" w:hAnsi="Times New Roman" w:cs="Times New Roman"/>
                <w:sz w:val="20"/>
                <w:szCs w:val="20"/>
              </w:rPr>
              <w:t>benefits</w:t>
            </w:r>
            <w:r w:rsidR="008C0383">
              <w:rPr>
                <w:rFonts w:ascii="Times New Roman" w:hAnsi="Times New Roman" w:cs="Times New Roman"/>
                <w:sz w:val="20"/>
                <w:szCs w:val="20"/>
              </w:rPr>
              <w:t xml:space="preserve"> of higher</w:t>
            </w:r>
            <w:r w:rsidR="00414F8E">
              <w:rPr>
                <w:rFonts w:ascii="Times New Roman" w:hAnsi="Times New Roman" w:cs="Times New Roman"/>
                <w:sz w:val="20"/>
                <w:szCs w:val="20"/>
              </w:rPr>
              <w:t xml:space="preserve"> education. While the policymakers do recognize some social benefits</w:t>
            </w:r>
            <w:r w:rsidR="00FE377B">
              <w:rPr>
                <w:rFonts w:ascii="Times New Roman" w:hAnsi="Times New Roman" w:cs="Times New Roman"/>
                <w:sz w:val="20"/>
                <w:szCs w:val="20"/>
              </w:rPr>
              <w:t xml:space="preserve"> of higher education</w:t>
            </w:r>
            <w:r w:rsidR="00414F8E">
              <w:rPr>
                <w:rFonts w:ascii="Times New Roman" w:hAnsi="Times New Roman" w:cs="Times New Roman"/>
                <w:sz w:val="20"/>
                <w:szCs w:val="20"/>
              </w:rPr>
              <w:t>, the thrust of the poli</w:t>
            </w:r>
            <w:r w:rsidR="00FE377B">
              <w:rPr>
                <w:rFonts w:ascii="Times New Roman" w:hAnsi="Times New Roman" w:cs="Times New Roman"/>
                <w:sz w:val="20"/>
                <w:szCs w:val="20"/>
              </w:rPr>
              <w:t>cy is financial betterment. So the real voice and power of TN citizens</w:t>
            </w:r>
            <w:r w:rsidR="00D653D1">
              <w:rPr>
                <w:rFonts w:ascii="Times New Roman" w:hAnsi="Times New Roman" w:cs="Times New Roman"/>
                <w:sz w:val="20"/>
                <w:szCs w:val="20"/>
              </w:rPr>
              <w:t xml:space="preserve"> as promoted by the policy</w:t>
            </w:r>
            <w:r w:rsidR="00FE377B">
              <w:rPr>
                <w:rFonts w:ascii="Times New Roman" w:hAnsi="Times New Roman" w:cs="Times New Roman"/>
                <w:sz w:val="20"/>
                <w:szCs w:val="20"/>
              </w:rPr>
              <w:t xml:space="preserve"> </w:t>
            </w:r>
            <w:r w:rsidR="004E52A2">
              <w:rPr>
                <w:rFonts w:ascii="Times New Roman" w:hAnsi="Times New Roman" w:cs="Times New Roman"/>
                <w:sz w:val="20"/>
                <w:szCs w:val="20"/>
              </w:rPr>
              <w:t xml:space="preserve">is somewhat questionable because </w:t>
            </w:r>
            <w:r w:rsidR="00A43004">
              <w:rPr>
                <w:rFonts w:ascii="Times New Roman" w:hAnsi="Times New Roman" w:cs="Times New Roman"/>
                <w:sz w:val="20"/>
                <w:szCs w:val="20"/>
              </w:rPr>
              <w:t>their welfare is</w:t>
            </w:r>
            <w:r w:rsidR="004E52A2">
              <w:rPr>
                <w:rFonts w:ascii="Times New Roman" w:hAnsi="Times New Roman" w:cs="Times New Roman"/>
                <w:sz w:val="20"/>
                <w:szCs w:val="20"/>
              </w:rPr>
              <w:t xml:space="preserve"> couched mainly</w:t>
            </w:r>
            <w:r w:rsidR="00D653D1">
              <w:rPr>
                <w:rFonts w:ascii="Times New Roman" w:hAnsi="Times New Roman" w:cs="Times New Roman"/>
                <w:sz w:val="20"/>
                <w:szCs w:val="20"/>
              </w:rPr>
              <w:t xml:space="preserve"> in quantifiable outcomes</w:t>
            </w:r>
            <w:r w:rsidR="00FE0E8C">
              <w:rPr>
                <w:rFonts w:ascii="Times New Roman" w:hAnsi="Times New Roman" w:cs="Times New Roman"/>
                <w:sz w:val="20"/>
                <w:szCs w:val="20"/>
              </w:rPr>
              <w:t xml:space="preserve"> which are really simplistic assumptions; i.e. the assumption that simple outcomes can promote the public good (McMahon, 2009; </w:t>
            </w:r>
            <w:proofErr w:type="spellStart"/>
            <w:r w:rsidR="00FE0E8C">
              <w:rPr>
                <w:rFonts w:ascii="Times New Roman" w:hAnsi="Times New Roman" w:cs="Times New Roman"/>
                <w:sz w:val="20"/>
                <w:szCs w:val="20"/>
              </w:rPr>
              <w:t>Ramaly</w:t>
            </w:r>
            <w:proofErr w:type="spellEnd"/>
            <w:r w:rsidR="00FE0E8C">
              <w:rPr>
                <w:rFonts w:ascii="Times New Roman" w:hAnsi="Times New Roman" w:cs="Times New Roman"/>
                <w:sz w:val="20"/>
                <w:szCs w:val="20"/>
              </w:rPr>
              <w:t>, 2006)</w:t>
            </w:r>
            <w:r w:rsidR="004E52A2">
              <w:rPr>
                <w:rFonts w:ascii="Times New Roman" w:hAnsi="Times New Roman" w:cs="Times New Roman"/>
                <w:sz w:val="20"/>
                <w:szCs w:val="20"/>
              </w:rPr>
              <w:t xml:space="preserve">.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lastRenderedPageBreak/>
              <w:t xml:space="preserve">Governing Boards </w:t>
            </w:r>
            <w:r w:rsidR="00C72FC3">
              <w:rPr>
                <w:rFonts w:ascii="Times New Roman" w:hAnsi="Times New Roman" w:cs="Times New Roman"/>
                <w:sz w:val="20"/>
                <w:szCs w:val="20"/>
              </w:rPr>
              <w:t>of Individual Institutions</w:t>
            </w:r>
          </w:p>
        </w:tc>
        <w:tc>
          <w:tcPr>
            <w:tcW w:w="2394" w:type="dxa"/>
          </w:tcPr>
          <w:p w:rsidR="00A56D0E" w:rsidRDefault="005F44B9">
            <w:pPr>
              <w:rPr>
                <w:rFonts w:ascii="Times New Roman" w:hAnsi="Times New Roman" w:cs="Times New Roman"/>
                <w:sz w:val="24"/>
                <w:szCs w:val="24"/>
              </w:rPr>
            </w:pPr>
            <w:r>
              <w:rPr>
                <w:rFonts w:ascii="Times New Roman" w:hAnsi="Times New Roman" w:cs="Times New Roman"/>
                <w:sz w:val="24"/>
                <w:szCs w:val="24"/>
              </w:rPr>
              <w:t>“In consultation with the respective governing boards, approve institutional mission statements concurrent with the adoption of each revised statewide master plan”</w:t>
            </w:r>
          </w:p>
        </w:tc>
        <w:tc>
          <w:tcPr>
            <w:tcW w:w="1800" w:type="dxa"/>
          </w:tcPr>
          <w:p w:rsidR="00A56D0E" w:rsidRDefault="00FF0D28">
            <w:pPr>
              <w:rPr>
                <w:rFonts w:ascii="Times New Roman" w:hAnsi="Times New Roman" w:cs="Times New Roman"/>
                <w:sz w:val="20"/>
                <w:szCs w:val="20"/>
              </w:rPr>
            </w:pPr>
            <w:r w:rsidRPr="00027E56">
              <w:rPr>
                <w:rFonts w:ascii="Times New Roman" w:hAnsi="Times New Roman" w:cs="Times New Roman"/>
                <w:sz w:val="20"/>
                <w:szCs w:val="20"/>
              </w:rPr>
              <w:t>First mention (3.2)</w:t>
            </w:r>
          </w:p>
          <w:p w:rsidR="00F338E7" w:rsidRDefault="00F338E7">
            <w:pPr>
              <w:rPr>
                <w:rFonts w:ascii="Times New Roman" w:hAnsi="Times New Roman" w:cs="Times New Roman"/>
                <w:sz w:val="20"/>
                <w:szCs w:val="20"/>
              </w:rPr>
            </w:pPr>
          </w:p>
          <w:p w:rsidR="00F338E7" w:rsidRPr="00027E56" w:rsidRDefault="00F338E7">
            <w:pPr>
              <w:rPr>
                <w:rFonts w:ascii="Times New Roman" w:hAnsi="Times New Roman" w:cs="Times New Roman"/>
                <w:sz w:val="20"/>
                <w:szCs w:val="20"/>
              </w:rPr>
            </w:pPr>
            <w:r>
              <w:rPr>
                <w:rFonts w:ascii="Times New Roman" w:hAnsi="Times New Roman" w:cs="Times New Roman"/>
                <w:sz w:val="20"/>
                <w:szCs w:val="20"/>
              </w:rPr>
              <w:t>3</w:t>
            </w:r>
          </w:p>
        </w:tc>
        <w:tc>
          <w:tcPr>
            <w:tcW w:w="2988" w:type="dxa"/>
          </w:tcPr>
          <w:p w:rsidR="00A56D0E" w:rsidRPr="00A43004" w:rsidRDefault="00A43004" w:rsidP="00A43004">
            <w:pPr>
              <w:rPr>
                <w:rFonts w:ascii="Times New Roman" w:hAnsi="Times New Roman" w:cs="Times New Roman"/>
                <w:sz w:val="20"/>
                <w:szCs w:val="20"/>
              </w:rPr>
            </w:pPr>
            <w:r>
              <w:rPr>
                <w:rFonts w:ascii="Times New Roman" w:hAnsi="Times New Roman" w:cs="Times New Roman"/>
                <w:sz w:val="20"/>
                <w:szCs w:val="20"/>
              </w:rPr>
              <w:t>In the TN PBF specifically, g</w:t>
            </w:r>
            <w:r w:rsidRPr="00A43004">
              <w:rPr>
                <w:rFonts w:ascii="Times New Roman" w:hAnsi="Times New Roman" w:cs="Times New Roman"/>
                <w:sz w:val="20"/>
                <w:szCs w:val="20"/>
              </w:rPr>
              <w:t xml:space="preserve">overning boards of individual institutions </w:t>
            </w:r>
            <w:r>
              <w:rPr>
                <w:rFonts w:ascii="Times New Roman" w:hAnsi="Times New Roman" w:cs="Times New Roman"/>
                <w:sz w:val="20"/>
                <w:szCs w:val="20"/>
              </w:rPr>
              <w:t>are given some power to help craft the master plan, but this power is only given after the debate about whether having a master plan based on</w:t>
            </w:r>
            <w:r w:rsidR="00FE0E8C">
              <w:rPr>
                <w:rFonts w:ascii="Times New Roman" w:hAnsi="Times New Roman" w:cs="Times New Roman"/>
                <w:sz w:val="20"/>
                <w:szCs w:val="20"/>
              </w:rPr>
              <w:t xml:space="preserve"> quantifiable outcomes is over. Formerly, boards were supposed to insulate faculty, but now, a</w:t>
            </w:r>
            <w:r>
              <w:rPr>
                <w:rFonts w:ascii="Times New Roman" w:hAnsi="Times New Roman" w:cs="Times New Roman"/>
                <w:sz w:val="20"/>
                <w:szCs w:val="20"/>
              </w:rPr>
              <w:t xml:space="preserve">s </w:t>
            </w:r>
            <w:proofErr w:type="spellStart"/>
            <w:r>
              <w:rPr>
                <w:rFonts w:ascii="Times New Roman" w:hAnsi="Times New Roman" w:cs="Times New Roman"/>
                <w:sz w:val="20"/>
                <w:szCs w:val="20"/>
              </w:rPr>
              <w:t>Zumeta</w:t>
            </w:r>
            <w:proofErr w:type="spellEnd"/>
            <w:r>
              <w:rPr>
                <w:rFonts w:ascii="Times New Roman" w:hAnsi="Times New Roman" w:cs="Times New Roman"/>
                <w:sz w:val="20"/>
                <w:szCs w:val="20"/>
              </w:rPr>
              <w:t xml:space="preserve"> (2001) has noted however, much like coordinating boards, individual governing boards have been instrumental in promoting a neoliberal agenda because the boards have been increasingly staffed with corporate allies. So it is likely that many members on these individual boards are in agreement with the notion of performance based funding. Thus, the voices advocating an alternative vision of the public good may not be heard, especially if those voices are not in a position of authority.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t xml:space="preserve">Governor </w:t>
            </w:r>
            <w:r w:rsidR="00C72FC3">
              <w:rPr>
                <w:rFonts w:ascii="Times New Roman" w:hAnsi="Times New Roman" w:cs="Times New Roman"/>
                <w:sz w:val="20"/>
                <w:szCs w:val="20"/>
              </w:rPr>
              <w:t xml:space="preserve">of Tennessee </w:t>
            </w:r>
          </w:p>
        </w:tc>
        <w:tc>
          <w:tcPr>
            <w:tcW w:w="2394" w:type="dxa"/>
          </w:tcPr>
          <w:p w:rsidR="00A56D0E" w:rsidRDefault="00A56D0E">
            <w:pPr>
              <w:rPr>
                <w:rFonts w:ascii="Times New Roman" w:hAnsi="Times New Roman" w:cs="Times New Roman"/>
                <w:sz w:val="24"/>
                <w:szCs w:val="24"/>
              </w:rPr>
            </w:pPr>
          </w:p>
        </w:tc>
        <w:tc>
          <w:tcPr>
            <w:tcW w:w="1800" w:type="dxa"/>
          </w:tcPr>
          <w:p w:rsidR="00A56D0E" w:rsidRDefault="00716A89">
            <w:pPr>
              <w:rPr>
                <w:rFonts w:ascii="Times New Roman" w:hAnsi="Times New Roman" w:cs="Times New Roman"/>
                <w:sz w:val="20"/>
                <w:szCs w:val="20"/>
              </w:rPr>
            </w:pPr>
            <w:r w:rsidRPr="00027E56">
              <w:rPr>
                <w:rFonts w:ascii="Times New Roman" w:hAnsi="Times New Roman" w:cs="Times New Roman"/>
                <w:sz w:val="20"/>
                <w:szCs w:val="20"/>
              </w:rPr>
              <w:t>(3.3) and (5).</w:t>
            </w:r>
          </w:p>
          <w:p w:rsidR="00F338E7" w:rsidRDefault="00F338E7">
            <w:pPr>
              <w:rPr>
                <w:rFonts w:ascii="Times New Roman" w:hAnsi="Times New Roman" w:cs="Times New Roman"/>
                <w:sz w:val="20"/>
                <w:szCs w:val="20"/>
              </w:rPr>
            </w:pPr>
          </w:p>
          <w:p w:rsidR="00F338E7" w:rsidRPr="00027E56" w:rsidRDefault="00F338E7">
            <w:pPr>
              <w:rPr>
                <w:rFonts w:ascii="Times New Roman" w:hAnsi="Times New Roman" w:cs="Times New Roman"/>
                <w:sz w:val="20"/>
                <w:szCs w:val="20"/>
              </w:rPr>
            </w:pPr>
            <w:r>
              <w:rPr>
                <w:rFonts w:ascii="Times New Roman" w:hAnsi="Times New Roman" w:cs="Times New Roman"/>
                <w:sz w:val="20"/>
                <w:szCs w:val="20"/>
              </w:rPr>
              <w:t>2</w:t>
            </w:r>
          </w:p>
        </w:tc>
        <w:tc>
          <w:tcPr>
            <w:tcW w:w="2988" w:type="dxa"/>
          </w:tcPr>
          <w:p w:rsidR="00A56D0E" w:rsidRPr="00A43004" w:rsidRDefault="00A43004" w:rsidP="00FE0E8C">
            <w:pPr>
              <w:rPr>
                <w:rFonts w:ascii="Times New Roman" w:hAnsi="Times New Roman" w:cs="Times New Roman"/>
                <w:sz w:val="20"/>
                <w:szCs w:val="20"/>
              </w:rPr>
            </w:pPr>
            <w:r>
              <w:rPr>
                <w:rFonts w:ascii="Times New Roman" w:hAnsi="Times New Roman" w:cs="Times New Roman"/>
                <w:sz w:val="20"/>
                <w:szCs w:val="20"/>
              </w:rPr>
              <w:t xml:space="preserve">The governor signed the bill into law in 2010.  </w:t>
            </w:r>
            <w:r w:rsidR="00716A89" w:rsidRPr="00A43004">
              <w:rPr>
                <w:rFonts w:ascii="Times New Roman" w:hAnsi="Times New Roman" w:cs="Times New Roman"/>
                <w:sz w:val="20"/>
                <w:szCs w:val="20"/>
              </w:rPr>
              <w:t xml:space="preserve">The governor is a powerful, but removed player. The education committee in the house and senate must prepare an </w:t>
            </w:r>
            <w:r>
              <w:rPr>
                <w:rFonts w:ascii="Times New Roman" w:hAnsi="Times New Roman" w:cs="Times New Roman"/>
                <w:sz w:val="20"/>
                <w:szCs w:val="20"/>
              </w:rPr>
              <w:t xml:space="preserve">annual report for the </w:t>
            </w:r>
            <w:r>
              <w:rPr>
                <w:rFonts w:ascii="Times New Roman" w:hAnsi="Times New Roman" w:cs="Times New Roman"/>
                <w:sz w:val="20"/>
                <w:szCs w:val="20"/>
              </w:rPr>
              <w:lastRenderedPageBreak/>
              <w:t xml:space="preserve">governor regarding the progress of institutions and the PBF policy. </w:t>
            </w:r>
            <w:r w:rsidR="00D653D1">
              <w:rPr>
                <w:rFonts w:ascii="Times New Roman" w:hAnsi="Times New Roman" w:cs="Times New Roman"/>
                <w:sz w:val="20"/>
                <w:szCs w:val="20"/>
              </w:rPr>
              <w:t>Thus, the governor can presumably make recommendations for policymakers to follow and ultimately for HEI</w:t>
            </w:r>
            <w:r w:rsidR="00B20182">
              <w:rPr>
                <w:rFonts w:ascii="Times New Roman" w:hAnsi="Times New Roman" w:cs="Times New Roman"/>
                <w:sz w:val="20"/>
                <w:szCs w:val="20"/>
              </w:rPr>
              <w:t>’s</w:t>
            </w:r>
            <w:r w:rsidR="00D653D1">
              <w:rPr>
                <w:rFonts w:ascii="Times New Roman" w:hAnsi="Times New Roman" w:cs="Times New Roman"/>
                <w:sz w:val="20"/>
                <w:szCs w:val="20"/>
              </w:rPr>
              <w:t xml:space="preserve"> to abide by if these recommendations are put into future policy revisions. </w:t>
            </w:r>
            <w:r w:rsidR="00B20182">
              <w:rPr>
                <w:rFonts w:ascii="Times New Roman" w:hAnsi="Times New Roman" w:cs="Times New Roman"/>
                <w:sz w:val="20"/>
                <w:szCs w:val="20"/>
              </w:rPr>
              <w:t xml:space="preserve">It </w:t>
            </w:r>
            <w:r w:rsidR="00FE0E8C">
              <w:rPr>
                <w:rFonts w:ascii="Times New Roman" w:hAnsi="Times New Roman" w:cs="Times New Roman"/>
                <w:sz w:val="20"/>
                <w:szCs w:val="20"/>
              </w:rPr>
              <w:t>should</w:t>
            </w:r>
            <w:r w:rsidR="00B20182">
              <w:rPr>
                <w:rFonts w:ascii="Times New Roman" w:hAnsi="Times New Roman" w:cs="Times New Roman"/>
                <w:sz w:val="20"/>
                <w:szCs w:val="20"/>
              </w:rPr>
              <w:t xml:space="preserve"> also be remembered that the NGA was responsible for pushing PBF policies. </w:t>
            </w:r>
          </w:p>
        </w:tc>
      </w:tr>
      <w:tr w:rsidR="00A56D0E" w:rsidTr="00EA2766">
        <w:tc>
          <w:tcPr>
            <w:tcW w:w="2394" w:type="dxa"/>
          </w:tcPr>
          <w:p w:rsidR="00A56D0E" w:rsidRPr="005802D2" w:rsidRDefault="00A56D0E">
            <w:pPr>
              <w:rPr>
                <w:rFonts w:ascii="Times New Roman" w:hAnsi="Times New Roman" w:cs="Times New Roman"/>
                <w:sz w:val="20"/>
                <w:szCs w:val="20"/>
              </w:rPr>
            </w:pPr>
            <w:r w:rsidRPr="005802D2">
              <w:rPr>
                <w:rFonts w:ascii="Times New Roman" w:hAnsi="Times New Roman" w:cs="Times New Roman"/>
                <w:sz w:val="20"/>
                <w:szCs w:val="20"/>
              </w:rPr>
              <w:lastRenderedPageBreak/>
              <w:t>Office</w:t>
            </w:r>
            <w:r w:rsidR="00027E56">
              <w:rPr>
                <w:rFonts w:ascii="Times New Roman" w:hAnsi="Times New Roman" w:cs="Times New Roman"/>
                <w:sz w:val="20"/>
                <w:szCs w:val="20"/>
              </w:rPr>
              <w:t xml:space="preserve"> of Legislative budget analysis/</w:t>
            </w:r>
            <w:r w:rsidR="00027E56" w:rsidRPr="005802D2">
              <w:rPr>
                <w:rFonts w:ascii="Times New Roman" w:hAnsi="Times New Roman" w:cs="Times New Roman"/>
                <w:sz w:val="20"/>
                <w:szCs w:val="20"/>
              </w:rPr>
              <w:t xml:space="preserve"> Commissioner of Finance</w:t>
            </w:r>
          </w:p>
        </w:tc>
        <w:tc>
          <w:tcPr>
            <w:tcW w:w="2394" w:type="dxa"/>
          </w:tcPr>
          <w:p w:rsidR="00A56D0E" w:rsidRPr="00B00FAC" w:rsidRDefault="00484198">
            <w:pPr>
              <w:rPr>
                <w:rFonts w:ascii="Times New Roman" w:hAnsi="Times New Roman" w:cs="Times New Roman"/>
                <w:sz w:val="20"/>
                <w:szCs w:val="20"/>
              </w:rPr>
            </w:pPr>
            <w:r w:rsidRPr="00B00FAC">
              <w:rPr>
                <w:rFonts w:ascii="Times New Roman" w:hAnsi="Times New Roman" w:cs="Times New Roman"/>
                <w:sz w:val="20"/>
                <w:szCs w:val="20"/>
              </w:rPr>
              <w:t>“The office of legislative budget analysis and the comptroller of the tr</w:t>
            </w:r>
            <w:r w:rsidR="00B00FAC" w:rsidRPr="00B00FAC">
              <w:rPr>
                <w:rFonts w:ascii="Times New Roman" w:hAnsi="Times New Roman" w:cs="Times New Roman"/>
                <w:sz w:val="20"/>
                <w:szCs w:val="20"/>
              </w:rPr>
              <w:t>easury, shall provide comments on the higher education funding formula to the chairs of the education and finance, ways and means committees of both houses of the general assembly.”</w:t>
            </w:r>
          </w:p>
        </w:tc>
        <w:tc>
          <w:tcPr>
            <w:tcW w:w="1800" w:type="dxa"/>
          </w:tcPr>
          <w:p w:rsidR="00A56D0E" w:rsidRDefault="00B00FAC">
            <w:pPr>
              <w:rPr>
                <w:rFonts w:ascii="Times New Roman" w:hAnsi="Times New Roman" w:cs="Times New Roman"/>
                <w:sz w:val="24"/>
                <w:szCs w:val="24"/>
              </w:rPr>
            </w:pPr>
            <w:r>
              <w:rPr>
                <w:rFonts w:ascii="Times New Roman" w:hAnsi="Times New Roman" w:cs="Times New Roman"/>
                <w:sz w:val="24"/>
                <w:szCs w:val="24"/>
              </w:rPr>
              <w:t xml:space="preserve">(3.4A) first mention </w:t>
            </w:r>
          </w:p>
          <w:p w:rsidR="00F338E7" w:rsidRDefault="00F338E7">
            <w:pPr>
              <w:rPr>
                <w:rFonts w:ascii="Times New Roman" w:hAnsi="Times New Roman" w:cs="Times New Roman"/>
                <w:sz w:val="24"/>
                <w:szCs w:val="24"/>
              </w:rPr>
            </w:pPr>
          </w:p>
          <w:p w:rsidR="00F338E7" w:rsidRDefault="00F338E7">
            <w:pPr>
              <w:rPr>
                <w:rFonts w:ascii="Times New Roman" w:hAnsi="Times New Roman" w:cs="Times New Roman"/>
                <w:sz w:val="24"/>
                <w:szCs w:val="24"/>
              </w:rPr>
            </w:pPr>
            <w:r>
              <w:rPr>
                <w:rFonts w:ascii="Times New Roman" w:hAnsi="Times New Roman" w:cs="Times New Roman"/>
                <w:sz w:val="24"/>
                <w:szCs w:val="24"/>
              </w:rPr>
              <w:t>3</w:t>
            </w:r>
          </w:p>
        </w:tc>
        <w:tc>
          <w:tcPr>
            <w:tcW w:w="2988" w:type="dxa"/>
          </w:tcPr>
          <w:p w:rsidR="00A56D0E" w:rsidRPr="00B20182" w:rsidRDefault="00B1476D" w:rsidP="00B20182">
            <w:pPr>
              <w:rPr>
                <w:rFonts w:ascii="Times New Roman" w:hAnsi="Times New Roman" w:cs="Times New Roman"/>
                <w:sz w:val="20"/>
                <w:szCs w:val="20"/>
              </w:rPr>
            </w:pPr>
            <w:r w:rsidRPr="00B20182">
              <w:rPr>
                <w:rFonts w:ascii="Times New Roman" w:hAnsi="Times New Roman" w:cs="Times New Roman"/>
                <w:sz w:val="20"/>
                <w:szCs w:val="20"/>
              </w:rPr>
              <w:t>The</w:t>
            </w:r>
            <w:r w:rsidR="00B20182" w:rsidRPr="00B20182">
              <w:rPr>
                <w:rFonts w:ascii="Times New Roman" w:hAnsi="Times New Roman" w:cs="Times New Roman"/>
                <w:sz w:val="20"/>
                <w:szCs w:val="20"/>
              </w:rPr>
              <w:t xml:space="preserve"> THEC must </w:t>
            </w:r>
            <w:r w:rsidRPr="00B20182">
              <w:rPr>
                <w:rFonts w:ascii="Times New Roman" w:hAnsi="Times New Roman" w:cs="Times New Roman"/>
                <w:sz w:val="20"/>
                <w:szCs w:val="20"/>
              </w:rPr>
              <w:t xml:space="preserve">submit the higher education funding formula to OLBA and </w:t>
            </w:r>
            <w:r w:rsidR="00B20182" w:rsidRPr="00B20182">
              <w:rPr>
                <w:rFonts w:ascii="Times New Roman" w:hAnsi="Times New Roman" w:cs="Times New Roman"/>
                <w:sz w:val="20"/>
                <w:szCs w:val="20"/>
              </w:rPr>
              <w:t>to</w:t>
            </w:r>
            <w:r w:rsidRPr="00B20182">
              <w:rPr>
                <w:rFonts w:ascii="Times New Roman" w:hAnsi="Times New Roman" w:cs="Times New Roman"/>
                <w:sz w:val="20"/>
                <w:szCs w:val="20"/>
              </w:rPr>
              <w:t xml:space="preserve"> the comptroller</w:t>
            </w:r>
            <w:r w:rsidR="00B20182" w:rsidRPr="00B20182">
              <w:rPr>
                <w:rFonts w:ascii="Times New Roman" w:hAnsi="Times New Roman" w:cs="Times New Roman"/>
                <w:sz w:val="20"/>
                <w:szCs w:val="20"/>
              </w:rPr>
              <w:t xml:space="preserve"> of the treasury annually. </w:t>
            </w:r>
            <w:r w:rsidR="00027E56">
              <w:rPr>
                <w:rFonts w:ascii="Times New Roman" w:hAnsi="Times New Roman" w:cs="Times New Roman"/>
                <w:sz w:val="20"/>
                <w:szCs w:val="20"/>
              </w:rPr>
              <w:t>(The THEC must also work to establish uniform plans of statistical analysis and accounting).</w:t>
            </w:r>
            <w:r w:rsidR="00B20182" w:rsidRPr="00B20182">
              <w:rPr>
                <w:rFonts w:ascii="Times New Roman" w:hAnsi="Times New Roman" w:cs="Times New Roman"/>
                <w:sz w:val="20"/>
                <w:szCs w:val="20"/>
              </w:rPr>
              <w:t>The OLBA and comptroller than give comments on the budget to the house and senate education committees. The OLBA and comptroller are the “middle men” between the THEC and the legislature. This helps cement a hierarchy which places HEI’s toward the bottom of the decision making ladder. This is not uncommon, as Alexander (2000)</w:t>
            </w:r>
            <w:r w:rsidR="00FE0E8C">
              <w:rPr>
                <w:rFonts w:ascii="Times New Roman" w:hAnsi="Times New Roman" w:cs="Times New Roman"/>
                <w:sz w:val="20"/>
                <w:szCs w:val="20"/>
              </w:rPr>
              <w:t xml:space="preserve"> has noted</w:t>
            </w:r>
            <w:r w:rsidR="00B20182" w:rsidRPr="00B20182">
              <w:rPr>
                <w:rFonts w:ascii="Times New Roman" w:hAnsi="Times New Roman" w:cs="Times New Roman"/>
                <w:sz w:val="20"/>
                <w:szCs w:val="20"/>
              </w:rPr>
              <w:t xml:space="preserve">, many policymakers feel that education is too important in regards to the economy to be left to educationalists, so the power must be taken out of their hands. </w:t>
            </w:r>
            <w:r w:rsidR="00FE0E8C">
              <w:rPr>
                <w:rFonts w:ascii="Times New Roman" w:hAnsi="Times New Roman" w:cs="Times New Roman"/>
                <w:sz w:val="20"/>
                <w:szCs w:val="20"/>
              </w:rPr>
              <w:t>This speaks to the lack of trust (Burke, 2005) and the subsequent effect on the public good, as well as the simple ass</w:t>
            </w:r>
            <w:r w:rsidR="004D5C09">
              <w:rPr>
                <w:rFonts w:ascii="Times New Roman" w:hAnsi="Times New Roman" w:cs="Times New Roman"/>
                <w:sz w:val="20"/>
                <w:szCs w:val="20"/>
              </w:rPr>
              <w:t>umption that higher education is simple organization.</w:t>
            </w:r>
          </w:p>
        </w:tc>
      </w:tr>
      <w:tr w:rsidR="00B00FAC" w:rsidTr="00EA2766">
        <w:tc>
          <w:tcPr>
            <w:tcW w:w="2394" w:type="dxa"/>
          </w:tcPr>
          <w:p w:rsidR="00B00FAC" w:rsidRPr="005802D2" w:rsidRDefault="00B00FAC">
            <w:pPr>
              <w:rPr>
                <w:rFonts w:ascii="Times New Roman" w:hAnsi="Times New Roman" w:cs="Times New Roman"/>
                <w:sz w:val="20"/>
                <w:szCs w:val="20"/>
              </w:rPr>
            </w:pPr>
            <w:r w:rsidRPr="005802D2">
              <w:rPr>
                <w:rFonts w:ascii="Times New Roman" w:hAnsi="Times New Roman" w:cs="Times New Roman"/>
                <w:sz w:val="20"/>
                <w:szCs w:val="20"/>
              </w:rPr>
              <w:t xml:space="preserve">Comptroller of the Treasury </w:t>
            </w:r>
          </w:p>
        </w:tc>
        <w:tc>
          <w:tcPr>
            <w:tcW w:w="2394" w:type="dxa"/>
          </w:tcPr>
          <w:p w:rsidR="00B00FAC" w:rsidRPr="00B00FAC" w:rsidRDefault="00B00FAC" w:rsidP="00C57BF8">
            <w:pPr>
              <w:rPr>
                <w:rFonts w:ascii="Times New Roman" w:hAnsi="Times New Roman" w:cs="Times New Roman"/>
                <w:sz w:val="20"/>
                <w:szCs w:val="20"/>
              </w:rPr>
            </w:pPr>
            <w:r w:rsidRPr="00B00FAC">
              <w:rPr>
                <w:rFonts w:ascii="Times New Roman" w:hAnsi="Times New Roman" w:cs="Times New Roman"/>
                <w:sz w:val="20"/>
                <w:szCs w:val="20"/>
              </w:rPr>
              <w:t xml:space="preserve">“The office of legislative budget analysis and the comptroller of the treasury, shall provide comments on the higher education funding formula to the chairs of the education and finance, ways and means committees of both houses of the general </w:t>
            </w:r>
            <w:r w:rsidRPr="00B00FAC">
              <w:rPr>
                <w:rFonts w:ascii="Times New Roman" w:hAnsi="Times New Roman" w:cs="Times New Roman"/>
                <w:sz w:val="20"/>
                <w:szCs w:val="20"/>
              </w:rPr>
              <w:lastRenderedPageBreak/>
              <w:t>assembly.”</w:t>
            </w:r>
          </w:p>
        </w:tc>
        <w:tc>
          <w:tcPr>
            <w:tcW w:w="1800" w:type="dxa"/>
          </w:tcPr>
          <w:p w:rsidR="00B00FAC" w:rsidRDefault="00B00FAC" w:rsidP="00C57BF8">
            <w:pPr>
              <w:rPr>
                <w:rFonts w:ascii="Times New Roman" w:hAnsi="Times New Roman" w:cs="Times New Roman"/>
                <w:sz w:val="24"/>
                <w:szCs w:val="24"/>
              </w:rPr>
            </w:pPr>
            <w:r>
              <w:rPr>
                <w:rFonts w:ascii="Times New Roman" w:hAnsi="Times New Roman" w:cs="Times New Roman"/>
                <w:sz w:val="24"/>
                <w:szCs w:val="24"/>
              </w:rPr>
              <w:lastRenderedPageBreak/>
              <w:t xml:space="preserve">(3.4A) first mention </w:t>
            </w:r>
          </w:p>
          <w:p w:rsidR="00F338E7" w:rsidRDefault="00F338E7" w:rsidP="00C57BF8">
            <w:pPr>
              <w:rPr>
                <w:rFonts w:ascii="Times New Roman" w:hAnsi="Times New Roman" w:cs="Times New Roman"/>
                <w:sz w:val="24"/>
                <w:szCs w:val="24"/>
              </w:rPr>
            </w:pPr>
          </w:p>
          <w:p w:rsidR="00F338E7" w:rsidRDefault="00F338E7" w:rsidP="00C57BF8">
            <w:pPr>
              <w:rPr>
                <w:rFonts w:ascii="Times New Roman" w:hAnsi="Times New Roman" w:cs="Times New Roman"/>
                <w:sz w:val="24"/>
                <w:szCs w:val="24"/>
              </w:rPr>
            </w:pPr>
            <w:r>
              <w:rPr>
                <w:rFonts w:ascii="Times New Roman" w:hAnsi="Times New Roman" w:cs="Times New Roman"/>
                <w:sz w:val="24"/>
                <w:szCs w:val="24"/>
              </w:rPr>
              <w:t>5</w:t>
            </w:r>
          </w:p>
        </w:tc>
        <w:tc>
          <w:tcPr>
            <w:tcW w:w="2988" w:type="dxa"/>
          </w:tcPr>
          <w:p w:rsidR="00B00FAC" w:rsidRPr="00B20182" w:rsidRDefault="00B00FAC">
            <w:pPr>
              <w:rPr>
                <w:rFonts w:ascii="Times New Roman" w:hAnsi="Times New Roman" w:cs="Times New Roman"/>
                <w:sz w:val="20"/>
                <w:szCs w:val="20"/>
              </w:rPr>
            </w:pPr>
            <w:r w:rsidRPr="00B20182">
              <w:rPr>
                <w:rFonts w:ascii="Times New Roman" w:hAnsi="Times New Roman" w:cs="Times New Roman"/>
                <w:sz w:val="20"/>
                <w:szCs w:val="20"/>
              </w:rPr>
              <w:t xml:space="preserve">The comptroller also has the power to audit the THEC, the BOR and BOT in regards to their accountability efforts to provide high enough levels of educational attainment. This gives the comptroller a tremendous amount of power to influence how HEI are held accountable and how HEI respond to accountability </w:t>
            </w:r>
            <w:r w:rsidRPr="00B20182">
              <w:rPr>
                <w:rFonts w:ascii="Times New Roman" w:hAnsi="Times New Roman" w:cs="Times New Roman"/>
                <w:sz w:val="20"/>
                <w:szCs w:val="20"/>
              </w:rPr>
              <w:lastRenderedPageBreak/>
              <w:t>measures. This further adds to the power that that the executive branch has and the less power that HEI’</w:t>
            </w:r>
            <w:r>
              <w:rPr>
                <w:rFonts w:ascii="Times New Roman" w:hAnsi="Times New Roman" w:cs="Times New Roman"/>
                <w:sz w:val="20"/>
                <w:szCs w:val="20"/>
              </w:rPr>
              <w:t>s have in the hierarchy. The hierarchy looks something like this in TN</w:t>
            </w:r>
            <w:r w:rsidR="004D5C09">
              <w:rPr>
                <w:rFonts w:ascii="Times New Roman" w:hAnsi="Times New Roman" w:cs="Times New Roman"/>
                <w:sz w:val="20"/>
                <w:szCs w:val="20"/>
              </w:rPr>
              <w:t>, from bottom to top</w:t>
            </w:r>
            <w:r>
              <w:rPr>
                <w:rFonts w:ascii="Times New Roman" w:hAnsi="Times New Roman" w:cs="Times New Roman"/>
                <w:sz w:val="20"/>
                <w:szCs w:val="20"/>
              </w:rPr>
              <w:t>: HEI’s (CC,4Y)-BOR BOT, THEC-OLBA, comptroller-house and senate committees, governor. Technology centers are under the legislature but over the THEC and ORNL is not subject to the legislature but can impact HEI. A vertical hierarchy can stymie the power and influence of an institution (</w:t>
            </w:r>
            <w:proofErr w:type="spellStart"/>
            <w:r>
              <w:rPr>
                <w:rFonts w:ascii="Times New Roman" w:hAnsi="Times New Roman" w:cs="Times New Roman"/>
                <w:sz w:val="20"/>
                <w:szCs w:val="20"/>
              </w:rPr>
              <w:t>Marginson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Pters</w:t>
            </w:r>
            <w:proofErr w:type="spellEnd"/>
            <w:r>
              <w:rPr>
                <w:rFonts w:ascii="Times New Roman" w:hAnsi="Times New Roman" w:cs="Times New Roman"/>
                <w:sz w:val="20"/>
                <w:szCs w:val="20"/>
              </w:rPr>
              <w:t>…2010) and thus it is essential that HEI begin to look horizontally as well.</w:t>
            </w:r>
          </w:p>
        </w:tc>
      </w:tr>
      <w:tr w:rsidR="00B00FAC" w:rsidTr="00EA2766">
        <w:tc>
          <w:tcPr>
            <w:tcW w:w="2394" w:type="dxa"/>
          </w:tcPr>
          <w:p w:rsidR="00B00FAC" w:rsidRPr="005802D2" w:rsidRDefault="00B00FAC">
            <w:pPr>
              <w:rPr>
                <w:rFonts w:ascii="Times New Roman" w:hAnsi="Times New Roman" w:cs="Times New Roman"/>
                <w:sz w:val="20"/>
                <w:szCs w:val="20"/>
              </w:rPr>
            </w:pPr>
            <w:r w:rsidRPr="005802D2">
              <w:rPr>
                <w:rFonts w:ascii="Times New Roman" w:hAnsi="Times New Roman" w:cs="Times New Roman"/>
                <w:sz w:val="20"/>
                <w:szCs w:val="20"/>
              </w:rPr>
              <w:lastRenderedPageBreak/>
              <w:t xml:space="preserve">Education and Finance/Ways and Means committees </w:t>
            </w:r>
          </w:p>
        </w:tc>
        <w:tc>
          <w:tcPr>
            <w:tcW w:w="2394" w:type="dxa"/>
          </w:tcPr>
          <w:p w:rsidR="00B00FAC" w:rsidRPr="00B00FAC" w:rsidRDefault="00B00FAC" w:rsidP="00C57BF8">
            <w:pPr>
              <w:rPr>
                <w:rFonts w:ascii="Times New Roman" w:hAnsi="Times New Roman" w:cs="Times New Roman"/>
                <w:sz w:val="20"/>
                <w:szCs w:val="20"/>
              </w:rPr>
            </w:pPr>
            <w:r w:rsidRPr="00B00FAC">
              <w:rPr>
                <w:rFonts w:ascii="Times New Roman" w:hAnsi="Times New Roman" w:cs="Times New Roman"/>
                <w:sz w:val="20"/>
                <w:szCs w:val="20"/>
              </w:rPr>
              <w:t>“The office of legislative budget analysis and the comptroller of the treasury, shall provide comments on the higher education funding formula to the chairs of the education and finance, ways and means committees of both houses of the general assembly.”</w:t>
            </w:r>
          </w:p>
        </w:tc>
        <w:tc>
          <w:tcPr>
            <w:tcW w:w="1800" w:type="dxa"/>
          </w:tcPr>
          <w:p w:rsidR="00B00FAC" w:rsidRDefault="00B00FAC" w:rsidP="00C57BF8">
            <w:pPr>
              <w:rPr>
                <w:rFonts w:ascii="Times New Roman" w:hAnsi="Times New Roman" w:cs="Times New Roman"/>
                <w:sz w:val="24"/>
                <w:szCs w:val="24"/>
              </w:rPr>
            </w:pPr>
            <w:r>
              <w:rPr>
                <w:rFonts w:ascii="Times New Roman" w:hAnsi="Times New Roman" w:cs="Times New Roman"/>
                <w:sz w:val="24"/>
                <w:szCs w:val="24"/>
              </w:rPr>
              <w:t xml:space="preserve">(3.4A) first mention </w:t>
            </w:r>
          </w:p>
          <w:p w:rsidR="00F338E7" w:rsidRDefault="00F338E7" w:rsidP="00C57BF8">
            <w:pPr>
              <w:rPr>
                <w:rFonts w:ascii="Times New Roman" w:hAnsi="Times New Roman" w:cs="Times New Roman"/>
                <w:sz w:val="24"/>
                <w:szCs w:val="24"/>
              </w:rPr>
            </w:pPr>
          </w:p>
          <w:p w:rsidR="00F338E7" w:rsidRDefault="00F338E7" w:rsidP="00C57BF8">
            <w:pPr>
              <w:rPr>
                <w:rFonts w:ascii="Times New Roman" w:hAnsi="Times New Roman" w:cs="Times New Roman"/>
                <w:sz w:val="24"/>
                <w:szCs w:val="24"/>
              </w:rPr>
            </w:pPr>
            <w:r>
              <w:rPr>
                <w:rFonts w:ascii="Times New Roman" w:hAnsi="Times New Roman" w:cs="Times New Roman"/>
                <w:sz w:val="24"/>
                <w:szCs w:val="24"/>
              </w:rPr>
              <w:t>5</w:t>
            </w:r>
          </w:p>
        </w:tc>
        <w:tc>
          <w:tcPr>
            <w:tcW w:w="2988" w:type="dxa"/>
          </w:tcPr>
          <w:p w:rsidR="00B00FAC" w:rsidRPr="00027E56" w:rsidRDefault="00B00FAC" w:rsidP="00027E56">
            <w:pPr>
              <w:rPr>
                <w:rFonts w:ascii="Times New Roman" w:hAnsi="Times New Roman" w:cs="Times New Roman"/>
                <w:sz w:val="20"/>
                <w:szCs w:val="20"/>
              </w:rPr>
            </w:pPr>
            <w:r w:rsidRPr="00027E56">
              <w:rPr>
                <w:rFonts w:ascii="Times New Roman" w:hAnsi="Times New Roman" w:cs="Times New Roman"/>
                <w:sz w:val="20"/>
                <w:szCs w:val="20"/>
              </w:rPr>
              <w:t>The finance and ways and means committees in the house and senate are the controllers of the purse string which makes them arguably the most powerful actors in the policy.</w:t>
            </w:r>
            <w:r>
              <w:rPr>
                <w:rFonts w:ascii="Times New Roman" w:hAnsi="Times New Roman" w:cs="Times New Roman"/>
                <w:sz w:val="20"/>
                <w:szCs w:val="20"/>
              </w:rPr>
              <w:t xml:space="preserve"> The power of the purse usually allows those actors the ability to shape the public good in their image yet these views may not be equitable or inclusive (C</w:t>
            </w:r>
            <w:r w:rsidR="004D5C09">
              <w:rPr>
                <w:rFonts w:ascii="Times New Roman" w:hAnsi="Times New Roman" w:cs="Times New Roman"/>
                <w:sz w:val="20"/>
                <w:szCs w:val="20"/>
              </w:rPr>
              <w:t xml:space="preserve">alhoun, 1998; </w:t>
            </w:r>
            <w:proofErr w:type="spellStart"/>
            <w:r w:rsidR="004D5C09">
              <w:rPr>
                <w:rFonts w:ascii="Times New Roman" w:hAnsi="Times New Roman" w:cs="Times New Roman"/>
                <w:sz w:val="20"/>
                <w:szCs w:val="20"/>
              </w:rPr>
              <w:t>Mansbridge</w:t>
            </w:r>
            <w:proofErr w:type="spellEnd"/>
            <w:r w:rsidR="004D5C09">
              <w:rPr>
                <w:rFonts w:ascii="Times New Roman" w:hAnsi="Times New Roman" w:cs="Times New Roman"/>
                <w:sz w:val="20"/>
                <w:szCs w:val="20"/>
              </w:rPr>
              <w:t xml:space="preserve">, 1998). In a wider sense, a budget is not just a list of expenditures, but a reflection of a polities priorities (Fowler, 2009). </w:t>
            </w:r>
          </w:p>
        </w:tc>
      </w:tr>
      <w:tr w:rsidR="00B00FAC" w:rsidTr="00EA2766">
        <w:tc>
          <w:tcPr>
            <w:tcW w:w="2394" w:type="dxa"/>
          </w:tcPr>
          <w:p w:rsidR="00B00FAC" w:rsidRPr="005802D2" w:rsidRDefault="00B00FAC">
            <w:pPr>
              <w:rPr>
                <w:rFonts w:ascii="Times New Roman" w:hAnsi="Times New Roman" w:cs="Times New Roman"/>
                <w:sz w:val="20"/>
                <w:szCs w:val="20"/>
              </w:rPr>
            </w:pPr>
            <w:r w:rsidRPr="005802D2">
              <w:rPr>
                <w:rFonts w:ascii="Times New Roman" w:hAnsi="Times New Roman" w:cs="Times New Roman"/>
                <w:sz w:val="20"/>
                <w:szCs w:val="20"/>
              </w:rPr>
              <w:t xml:space="preserve">Oak Ridge National Laboratory </w:t>
            </w:r>
          </w:p>
        </w:tc>
        <w:tc>
          <w:tcPr>
            <w:tcW w:w="2394" w:type="dxa"/>
          </w:tcPr>
          <w:p w:rsidR="00B00FAC" w:rsidRPr="00484198" w:rsidRDefault="00B00FAC" w:rsidP="00484198">
            <w:pPr>
              <w:rPr>
                <w:rFonts w:ascii="Times New Roman" w:hAnsi="Times New Roman" w:cs="Times New Roman"/>
                <w:sz w:val="20"/>
                <w:szCs w:val="20"/>
              </w:rPr>
            </w:pPr>
            <w:r w:rsidRPr="00484198">
              <w:rPr>
                <w:rFonts w:ascii="Times New Roman" w:hAnsi="Times New Roman" w:cs="Times New Roman"/>
                <w:sz w:val="20"/>
                <w:szCs w:val="20"/>
              </w:rPr>
              <w:t>“The provisions of this agreement shall address matters including, but not limited to, the appointment and oversight of graduate students, the appointment and oversight of graduate students, the appointment of ORNL staff as faculty, and the development of interdisciplinary curricula between the two institutions.”</w:t>
            </w:r>
          </w:p>
        </w:tc>
        <w:tc>
          <w:tcPr>
            <w:tcW w:w="1800" w:type="dxa"/>
          </w:tcPr>
          <w:p w:rsidR="00B00FAC" w:rsidRDefault="00B00FAC">
            <w:pPr>
              <w:rPr>
                <w:rFonts w:ascii="Times New Roman" w:hAnsi="Times New Roman" w:cs="Times New Roman"/>
                <w:sz w:val="24"/>
                <w:szCs w:val="24"/>
              </w:rPr>
            </w:pPr>
            <w:r>
              <w:rPr>
                <w:rFonts w:ascii="Times New Roman" w:hAnsi="Times New Roman" w:cs="Times New Roman"/>
                <w:sz w:val="24"/>
                <w:szCs w:val="24"/>
              </w:rPr>
              <w:t xml:space="preserve">(9.1-9.1-b). </w:t>
            </w:r>
          </w:p>
          <w:p w:rsidR="00F338E7" w:rsidRDefault="00F338E7">
            <w:pPr>
              <w:rPr>
                <w:rFonts w:ascii="Times New Roman" w:hAnsi="Times New Roman" w:cs="Times New Roman"/>
                <w:sz w:val="24"/>
                <w:szCs w:val="24"/>
              </w:rPr>
            </w:pPr>
          </w:p>
          <w:p w:rsidR="00F338E7" w:rsidRDefault="00F338E7">
            <w:pPr>
              <w:rPr>
                <w:rFonts w:ascii="Times New Roman" w:hAnsi="Times New Roman" w:cs="Times New Roman"/>
                <w:sz w:val="24"/>
                <w:szCs w:val="24"/>
              </w:rPr>
            </w:pPr>
          </w:p>
          <w:p w:rsidR="00F338E7" w:rsidRDefault="00F338E7">
            <w:pPr>
              <w:rPr>
                <w:rFonts w:ascii="Times New Roman" w:hAnsi="Times New Roman" w:cs="Times New Roman"/>
                <w:sz w:val="24"/>
                <w:szCs w:val="24"/>
              </w:rPr>
            </w:pPr>
            <w:r>
              <w:rPr>
                <w:rFonts w:ascii="Times New Roman" w:hAnsi="Times New Roman" w:cs="Times New Roman"/>
                <w:sz w:val="24"/>
                <w:szCs w:val="24"/>
              </w:rPr>
              <w:t>7</w:t>
            </w:r>
          </w:p>
        </w:tc>
        <w:tc>
          <w:tcPr>
            <w:tcW w:w="2988" w:type="dxa"/>
          </w:tcPr>
          <w:p w:rsidR="00B00FAC" w:rsidRDefault="00B00FAC" w:rsidP="00DE7D27">
            <w:pPr>
              <w:rPr>
                <w:rFonts w:ascii="Times New Roman" w:hAnsi="Times New Roman" w:cs="Times New Roman"/>
                <w:sz w:val="20"/>
                <w:szCs w:val="20"/>
              </w:rPr>
            </w:pPr>
            <w:r w:rsidRPr="00DE7D27">
              <w:rPr>
                <w:rFonts w:ascii="Times New Roman" w:hAnsi="Times New Roman" w:cs="Times New Roman"/>
                <w:sz w:val="20"/>
                <w:szCs w:val="20"/>
              </w:rPr>
              <w:t xml:space="preserve">It is understood that the policies of ORNL and the federal DOE are in no way impinged upon by the TN PBF policy, yet graduate students </w:t>
            </w:r>
            <w:r>
              <w:rPr>
                <w:rFonts w:ascii="Times New Roman" w:hAnsi="Times New Roman" w:cs="Times New Roman"/>
                <w:sz w:val="20"/>
                <w:szCs w:val="20"/>
              </w:rPr>
              <w:t xml:space="preserve">of UT HEI’s </w:t>
            </w:r>
            <w:r w:rsidRPr="00DE7D27">
              <w:rPr>
                <w:rFonts w:ascii="Times New Roman" w:hAnsi="Times New Roman" w:cs="Times New Roman"/>
                <w:sz w:val="20"/>
                <w:szCs w:val="20"/>
              </w:rPr>
              <w:t>can be plac</w:t>
            </w:r>
            <w:r>
              <w:rPr>
                <w:rFonts w:ascii="Times New Roman" w:hAnsi="Times New Roman" w:cs="Times New Roman"/>
                <w:sz w:val="20"/>
                <w:szCs w:val="20"/>
              </w:rPr>
              <w:t>ed under the supervision of ORN</w:t>
            </w:r>
            <w:r w:rsidRPr="00DE7D27">
              <w:rPr>
                <w:rFonts w:ascii="Times New Roman" w:hAnsi="Times New Roman" w:cs="Times New Roman"/>
                <w:sz w:val="20"/>
                <w:szCs w:val="20"/>
              </w:rPr>
              <w:t xml:space="preserve">L staff and ORNL staff can be made professors. Thus, ORNL is perhaps the most powerful player in the policy, perhaps even more powerful than the TN legislature. </w:t>
            </w:r>
            <w:r>
              <w:rPr>
                <w:rFonts w:ascii="Times New Roman" w:hAnsi="Times New Roman" w:cs="Times New Roman"/>
                <w:sz w:val="20"/>
                <w:szCs w:val="20"/>
              </w:rPr>
              <w:t xml:space="preserve">While ORNL is a public entity, their mission is to advance private sector interests. </w:t>
            </w:r>
            <w:r w:rsidRPr="00DE7D27">
              <w:rPr>
                <w:rFonts w:ascii="Times New Roman" w:hAnsi="Times New Roman" w:cs="Times New Roman"/>
                <w:sz w:val="20"/>
                <w:szCs w:val="20"/>
              </w:rPr>
              <w:t>As Slaughter and Rhoades (2004)</w:t>
            </w:r>
            <w:r w:rsidR="004D5C09">
              <w:rPr>
                <w:rFonts w:ascii="Times New Roman" w:hAnsi="Times New Roman" w:cs="Times New Roman"/>
                <w:sz w:val="20"/>
                <w:szCs w:val="20"/>
              </w:rPr>
              <w:t xml:space="preserve">, </w:t>
            </w:r>
            <w:proofErr w:type="spellStart"/>
            <w:r w:rsidR="004D5C09">
              <w:rPr>
                <w:rFonts w:ascii="Times New Roman" w:hAnsi="Times New Roman" w:cs="Times New Roman"/>
                <w:sz w:val="20"/>
                <w:szCs w:val="20"/>
              </w:rPr>
              <w:lastRenderedPageBreak/>
              <w:t>Marginson</w:t>
            </w:r>
            <w:proofErr w:type="spellEnd"/>
            <w:r w:rsidR="004D5C09">
              <w:rPr>
                <w:rFonts w:ascii="Times New Roman" w:hAnsi="Times New Roman" w:cs="Times New Roman"/>
                <w:sz w:val="20"/>
                <w:szCs w:val="20"/>
              </w:rPr>
              <w:t xml:space="preserve"> (2007)</w:t>
            </w:r>
            <w:r w:rsidRPr="00DE7D27">
              <w:rPr>
                <w:rFonts w:ascii="Times New Roman" w:hAnsi="Times New Roman" w:cs="Times New Roman"/>
                <w:sz w:val="20"/>
                <w:szCs w:val="20"/>
              </w:rPr>
              <w:t xml:space="preserve"> as well as Washburn</w:t>
            </w:r>
            <w:r>
              <w:rPr>
                <w:rFonts w:ascii="Times New Roman" w:hAnsi="Times New Roman" w:cs="Times New Roman"/>
                <w:sz w:val="20"/>
                <w:szCs w:val="20"/>
              </w:rPr>
              <w:t xml:space="preserve"> </w:t>
            </w:r>
            <w:r w:rsidR="004D5C09">
              <w:rPr>
                <w:rFonts w:ascii="Times New Roman" w:hAnsi="Times New Roman" w:cs="Times New Roman"/>
                <w:sz w:val="20"/>
                <w:szCs w:val="20"/>
              </w:rPr>
              <w:t>(2005) note</w:t>
            </w:r>
            <w:r w:rsidRPr="00DE7D27">
              <w:rPr>
                <w:rFonts w:ascii="Times New Roman" w:hAnsi="Times New Roman" w:cs="Times New Roman"/>
                <w:sz w:val="20"/>
                <w:szCs w:val="20"/>
              </w:rPr>
              <w:t xml:space="preserve">, this </w:t>
            </w:r>
            <w:r>
              <w:rPr>
                <w:rFonts w:ascii="Times New Roman" w:hAnsi="Times New Roman" w:cs="Times New Roman"/>
                <w:sz w:val="20"/>
                <w:szCs w:val="20"/>
              </w:rPr>
              <w:t xml:space="preserve">may be a blurring of the public and private spheres. So the power of ORNL over the TN executive and legislature could lead to conflicts of interests between the public mission of UT and private sector endeavors by the federal government.  </w:t>
            </w:r>
          </w:p>
          <w:p w:rsidR="00095E62" w:rsidRDefault="00095E62" w:rsidP="00DE7D27">
            <w:pPr>
              <w:rPr>
                <w:rFonts w:ascii="Times New Roman" w:hAnsi="Times New Roman" w:cs="Times New Roman"/>
                <w:sz w:val="20"/>
                <w:szCs w:val="20"/>
              </w:rPr>
            </w:pPr>
          </w:p>
          <w:p w:rsidR="00095E62" w:rsidRPr="00DE7D27" w:rsidRDefault="00095E62" w:rsidP="00DE7D27">
            <w:pPr>
              <w:rPr>
                <w:rFonts w:ascii="Times New Roman" w:hAnsi="Times New Roman" w:cs="Times New Roman"/>
                <w:sz w:val="20"/>
                <w:szCs w:val="20"/>
              </w:rPr>
            </w:pPr>
            <w:r>
              <w:rPr>
                <w:rFonts w:ascii="Times New Roman" w:hAnsi="Times New Roman" w:cs="Times New Roman"/>
                <w:sz w:val="20"/>
                <w:szCs w:val="20"/>
              </w:rPr>
              <w:t xml:space="preserve">The goals of ORNL </w:t>
            </w:r>
            <w:r w:rsidR="0050269C">
              <w:rPr>
                <w:rFonts w:ascii="Times New Roman" w:hAnsi="Times New Roman" w:cs="Times New Roman"/>
                <w:sz w:val="20"/>
                <w:szCs w:val="20"/>
              </w:rPr>
              <w:t xml:space="preserve">are to promote private sector innovation, yet as </w:t>
            </w:r>
            <w:proofErr w:type="spellStart"/>
            <w:r w:rsidR="0050269C">
              <w:rPr>
                <w:rFonts w:ascii="Times New Roman" w:hAnsi="Times New Roman" w:cs="Times New Roman"/>
                <w:sz w:val="20"/>
                <w:szCs w:val="20"/>
              </w:rPr>
              <w:t>Stiglitz</w:t>
            </w:r>
            <w:proofErr w:type="spellEnd"/>
            <w:r w:rsidR="0050269C">
              <w:rPr>
                <w:rFonts w:ascii="Times New Roman" w:hAnsi="Times New Roman" w:cs="Times New Roman"/>
                <w:sz w:val="20"/>
                <w:szCs w:val="20"/>
              </w:rPr>
              <w:t xml:space="preserve"> (1999) agues patents and commercial knowledge may be more effective as public goods, because the market is not the most effective allocator of information  (</w:t>
            </w:r>
            <w:proofErr w:type="spellStart"/>
            <w:r w:rsidR="0050269C">
              <w:rPr>
                <w:rFonts w:ascii="Times New Roman" w:hAnsi="Times New Roman" w:cs="Times New Roman"/>
                <w:sz w:val="20"/>
                <w:szCs w:val="20"/>
              </w:rPr>
              <w:t>Sy</w:t>
            </w:r>
            <w:proofErr w:type="spellEnd"/>
            <w:r w:rsidR="0050269C">
              <w:rPr>
                <w:rFonts w:ascii="Times New Roman" w:hAnsi="Times New Roman" w:cs="Times New Roman"/>
                <w:sz w:val="20"/>
                <w:szCs w:val="20"/>
              </w:rPr>
              <w:t>, 1999).</w:t>
            </w:r>
          </w:p>
        </w:tc>
      </w:tr>
      <w:tr w:rsidR="00B00FAC" w:rsidTr="00EA2766">
        <w:tc>
          <w:tcPr>
            <w:tcW w:w="2394" w:type="dxa"/>
          </w:tcPr>
          <w:p w:rsidR="00B00FAC" w:rsidRPr="005802D2" w:rsidRDefault="00B00FAC">
            <w:pPr>
              <w:rPr>
                <w:rFonts w:ascii="Times New Roman" w:hAnsi="Times New Roman" w:cs="Times New Roman"/>
                <w:sz w:val="20"/>
                <w:szCs w:val="20"/>
              </w:rPr>
            </w:pPr>
            <w:r w:rsidRPr="005802D2">
              <w:rPr>
                <w:rFonts w:ascii="Times New Roman" w:hAnsi="Times New Roman" w:cs="Times New Roman"/>
                <w:sz w:val="20"/>
                <w:szCs w:val="20"/>
              </w:rPr>
              <w:lastRenderedPageBreak/>
              <w:t xml:space="preserve">Doctoral Students </w:t>
            </w:r>
            <w:r>
              <w:rPr>
                <w:rFonts w:ascii="Times New Roman" w:hAnsi="Times New Roman" w:cs="Times New Roman"/>
                <w:sz w:val="20"/>
                <w:szCs w:val="20"/>
              </w:rPr>
              <w:t>at UT</w:t>
            </w:r>
          </w:p>
        </w:tc>
        <w:tc>
          <w:tcPr>
            <w:tcW w:w="2394" w:type="dxa"/>
          </w:tcPr>
          <w:p w:rsidR="00B00FAC" w:rsidRPr="00BD37FB" w:rsidRDefault="00B00FAC">
            <w:pPr>
              <w:rPr>
                <w:rFonts w:ascii="Times New Roman" w:hAnsi="Times New Roman" w:cs="Times New Roman"/>
                <w:sz w:val="20"/>
                <w:szCs w:val="20"/>
              </w:rPr>
            </w:pPr>
            <w:r w:rsidRPr="00BD37FB">
              <w:rPr>
                <w:rFonts w:ascii="Times New Roman" w:hAnsi="Times New Roman" w:cs="Times New Roman"/>
                <w:sz w:val="20"/>
                <w:szCs w:val="20"/>
              </w:rPr>
              <w:t>“…that shall provide students an opportunity to undertake transformative research activities.”</w:t>
            </w:r>
          </w:p>
        </w:tc>
        <w:tc>
          <w:tcPr>
            <w:tcW w:w="1800" w:type="dxa"/>
          </w:tcPr>
          <w:p w:rsidR="00B00FAC" w:rsidRDefault="00B00FAC">
            <w:pPr>
              <w:rPr>
                <w:rFonts w:ascii="Times New Roman" w:hAnsi="Times New Roman" w:cs="Times New Roman"/>
                <w:sz w:val="24"/>
                <w:szCs w:val="24"/>
              </w:rPr>
            </w:pPr>
            <w:r>
              <w:rPr>
                <w:rFonts w:ascii="Times New Roman" w:hAnsi="Times New Roman" w:cs="Times New Roman"/>
                <w:sz w:val="24"/>
                <w:szCs w:val="24"/>
              </w:rPr>
              <w:t>(9.6)</w:t>
            </w:r>
          </w:p>
          <w:p w:rsidR="00855C1B" w:rsidRDefault="00855C1B">
            <w:pPr>
              <w:rPr>
                <w:rFonts w:ascii="Times New Roman" w:hAnsi="Times New Roman" w:cs="Times New Roman"/>
                <w:sz w:val="24"/>
                <w:szCs w:val="24"/>
              </w:rPr>
            </w:pPr>
          </w:p>
          <w:p w:rsidR="00855C1B" w:rsidRDefault="00855C1B">
            <w:pPr>
              <w:rPr>
                <w:rFonts w:ascii="Times New Roman" w:hAnsi="Times New Roman" w:cs="Times New Roman"/>
                <w:sz w:val="24"/>
                <w:szCs w:val="24"/>
              </w:rPr>
            </w:pPr>
            <w:r>
              <w:rPr>
                <w:rFonts w:ascii="Times New Roman" w:hAnsi="Times New Roman" w:cs="Times New Roman"/>
                <w:sz w:val="24"/>
                <w:szCs w:val="24"/>
              </w:rPr>
              <w:t>1</w:t>
            </w:r>
          </w:p>
        </w:tc>
        <w:tc>
          <w:tcPr>
            <w:tcW w:w="2988" w:type="dxa"/>
          </w:tcPr>
          <w:p w:rsidR="00B00FAC" w:rsidRPr="00DE7D27" w:rsidRDefault="00B00FAC" w:rsidP="00556120">
            <w:pPr>
              <w:rPr>
                <w:rFonts w:ascii="Times New Roman" w:hAnsi="Times New Roman" w:cs="Times New Roman"/>
                <w:sz w:val="20"/>
                <w:szCs w:val="20"/>
              </w:rPr>
            </w:pPr>
            <w:r w:rsidRPr="00DE7D27">
              <w:rPr>
                <w:rFonts w:ascii="Times New Roman" w:hAnsi="Times New Roman" w:cs="Times New Roman"/>
                <w:sz w:val="20"/>
                <w:szCs w:val="20"/>
              </w:rPr>
              <w:t xml:space="preserve">Doctoral students at UT are given the opportunity to perform transformative research in the fields of energy research and engineering. But this only affects doctoral students in energy and engineering fields and neglects doctoral students a variety of other disciplines. So only a small portion of students; STEM doctoral students, are empowered by the policy. </w:t>
            </w:r>
            <w:r>
              <w:rPr>
                <w:rFonts w:ascii="Times New Roman" w:hAnsi="Times New Roman" w:cs="Times New Roman"/>
                <w:sz w:val="20"/>
                <w:szCs w:val="20"/>
              </w:rPr>
              <w:t>This neglect of other disciplines, such as the humanities and social sciences is characteristic of many PBF policies (</w:t>
            </w:r>
            <w:proofErr w:type="spellStart"/>
            <w:r>
              <w:rPr>
                <w:rFonts w:ascii="Times New Roman" w:hAnsi="Times New Roman" w:cs="Times New Roman"/>
                <w:sz w:val="20"/>
                <w:szCs w:val="20"/>
              </w:rPr>
              <w:t>Zumeta</w:t>
            </w:r>
            <w:proofErr w:type="spellEnd"/>
            <w:r>
              <w:rPr>
                <w:rFonts w:ascii="Times New Roman" w:hAnsi="Times New Roman" w:cs="Times New Roman"/>
                <w:sz w:val="20"/>
                <w:szCs w:val="20"/>
              </w:rPr>
              <w:t>, 2011). This neglect also limits the actors which can participate in the ongoing creation and sustainment of the public good (Calhoun, 1998)</w:t>
            </w:r>
            <w:r w:rsidR="00887E8D">
              <w:rPr>
                <w:rFonts w:ascii="Times New Roman" w:hAnsi="Times New Roman" w:cs="Times New Roman"/>
                <w:sz w:val="20"/>
                <w:szCs w:val="20"/>
              </w:rPr>
              <w:t xml:space="preserve">. There is also an artificial divide between STEM and the humanities, whereas </w:t>
            </w:r>
            <w:proofErr w:type="spellStart"/>
            <w:r w:rsidR="00887E8D">
              <w:rPr>
                <w:rFonts w:ascii="Times New Roman" w:hAnsi="Times New Roman" w:cs="Times New Roman"/>
                <w:sz w:val="20"/>
                <w:szCs w:val="20"/>
              </w:rPr>
              <w:t>STEm</w:t>
            </w:r>
            <w:proofErr w:type="spellEnd"/>
            <w:r w:rsidR="00887E8D">
              <w:rPr>
                <w:rFonts w:ascii="Times New Roman" w:hAnsi="Times New Roman" w:cs="Times New Roman"/>
                <w:sz w:val="20"/>
                <w:szCs w:val="20"/>
              </w:rPr>
              <w:t xml:space="preserve"> can be humanized and made just (Hall, 2008; </w:t>
            </w:r>
            <w:proofErr w:type="spellStart"/>
            <w:r w:rsidR="00887E8D">
              <w:rPr>
                <w:rFonts w:ascii="Times New Roman" w:hAnsi="Times New Roman" w:cs="Times New Roman"/>
                <w:sz w:val="20"/>
                <w:szCs w:val="20"/>
              </w:rPr>
              <w:t>Suronta</w:t>
            </w:r>
            <w:proofErr w:type="spellEnd"/>
            <w:r w:rsidR="00887E8D">
              <w:rPr>
                <w:rFonts w:ascii="Times New Roman" w:hAnsi="Times New Roman" w:cs="Times New Roman"/>
                <w:sz w:val="20"/>
                <w:szCs w:val="20"/>
              </w:rPr>
              <w:t xml:space="preserve"> &amp; </w:t>
            </w:r>
            <w:proofErr w:type="spellStart"/>
            <w:r w:rsidR="00887E8D">
              <w:rPr>
                <w:rFonts w:ascii="Times New Roman" w:hAnsi="Times New Roman" w:cs="Times New Roman"/>
                <w:sz w:val="20"/>
                <w:szCs w:val="20"/>
              </w:rPr>
              <w:t>Vaden</w:t>
            </w:r>
            <w:proofErr w:type="spellEnd"/>
            <w:r w:rsidR="00887E8D">
              <w:rPr>
                <w:rFonts w:ascii="Times New Roman" w:hAnsi="Times New Roman" w:cs="Times New Roman"/>
                <w:sz w:val="20"/>
                <w:szCs w:val="20"/>
              </w:rPr>
              <w:t>, 2007).</w:t>
            </w:r>
          </w:p>
        </w:tc>
      </w:tr>
      <w:tr w:rsidR="00B00FAC" w:rsidTr="00EA2766">
        <w:tc>
          <w:tcPr>
            <w:tcW w:w="2394" w:type="dxa"/>
          </w:tcPr>
          <w:p w:rsidR="00B00FAC" w:rsidRPr="005802D2" w:rsidRDefault="00B00FAC">
            <w:pPr>
              <w:rPr>
                <w:rFonts w:ascii="Times New Roman" w:hAnsi="Times New Roman" w:cs="Times New Roman"/>
                <w:sz w:val="20"/>
                <w:szCs w:val="20"/>
              </w:rPr>
            </w:pPr>
            <w:r w:rsidRPr="005802D2">
              <w:rPr>
                <w:rFonts w:ascii="Times New Roman" w:hAnsi="Times New Roman" w:cs="Times New Roman"/>
                <w:sz w:val="20"/>
                <w:szCs w:val="20"/>
              </w:rPr>
              <w:t xml:space="preserve">University of Memphis/University of Tennessee Center for the Health Sciences/St. Jude Children’s Research </w:t>
            </w:r>
            <w:r w:rsidRPr="005802D2">
              <w:rPr>
                <w:rFonts w:ascii="Times New Roman" w:hAnsi="Times New Roman" w:cs="Times New Roman"/>
                <w:sz w:val="20"/>
                <w:szCs w:val="20"/>
              </w:rPr>
              <w:lastRenderedPageBreak/>
              <w:t>Hospital</w:t>
            </w:r>
          </w:p>
        </w:tc>
        <w:tc>
          <w:tcPr>
            <w:tcW w:w="2394" w:type="dxa"/>
          </w:tcPr>
          <w:p w:rsidR="00B00FAC" w:rsidRPr="00BD37FB" w:rsidRDefault="00B00FAC">
            <w:pPr>
              <w:rPr>
                <w:rFonts w:ascii="Times New Roman" w:hAnsi="Times New Roman" w:cs="Times New Roman"/>
                <w:sz w:val="20"/>
                <w:szCs w:val="20"/>
              </w:rPr>
            </w:pPr>
            <w:r w:rsidRPr="00BD37FB">
              <w:rPr>
                <w:rFonts w:ascii="Times New Roman" w:hAnsi="Times New Roman" w:cs="Times New Roman"/>
                <w:sz w:val="20"/>
                <w:szCs w:val="20"/>
              </w:rPr>
              <w:lastRenderedPageBreak/>
              <w:t xml:space="preserve">“…it is hereby declared that the University of orators in the Memphis, the University of Tennessee Center for </w:t>
            </w:r>
            <w:r w:rsidRPr="00BD37FB">
              <w:rPr>
                <w:rFonts w:ascii="Times New Roman" w:hAnsi="Times New Roman" w:cs="Times New Roman"/>
                <w:sz w:val="20"/>
                <w:szCs w:val="20"/>
              </w:rPr>
              <w:lastRenderedPageBreak/>
              <w:t>Health Sciences and St. Jude Children’s Research Hospital are lead collaborators in the Memphis Research Consortium.”</w:t>
            </w:r>
          </w:p>
          <w:p w:rsidR="00B00FAC" w:rsidRPr="00BD37FB" w:rsidRDefault="00B00FAC">
            <w:pPr>
              <w:rPr>
                <w:rFonts w:ascii="Times New Roman" w:hAnsi="Times New Roman" w:cs="Times New Roman"/>
                <w:sz w:val="20"/>
                <w:szCs w:val="20"/>
              </w:rPr>
            </w:pPr>
          </w:p>
          <w:p w:rsidR="00B00FAC" w:rsidRDefault="00B00FAC">
            <w:pPr>
              <w:rPr>
                <w:rFonts w:ascii="Times New Roman" w:hAnsi="Times New Roman" w:cs="Times New Roman"/>
                <w:sz w:val="24"/>
                <w:szCs w:val="24"/>
              </w:rPr>
            </w:pPr>
            <w:r w:rsidRPr="00BD37FB">
              <w:rPr>
                <w:rFonts w:ascii="Times New Roman" w:hAnsi="Times New Roman" w:cs="Times New Roman"/>
                <w:sz w:val="20"/>
                <w:szCs w:val="20"/>
              </w:rPr>
              <w:t>“…the promotion of public health, medical devices, medical and healthcare, bio-based products and chemical manufacturing, logistics and supply chain, computational and computer sciences, learning technologies, bioscience, and bioengineering and related business and research, as well as industrial and commercial enterprises engaged in business activities related to these areas.”</w:t>
            </w:r>
            <w:r>
              <w:rPr>
                <w:rFonts w:ascii="Times New Roman" w:hAnsi="Times New Roman" w:cs="Times New Roman"/>
                <w:sz w:val="24"/>
                <w:szCs w:val="24"/>
              </w:rPr>
              <w:t xml:space="preserve"> </w:t>
            </w:r>
          </w:p>
        </w:tc>
        <w:tc>
          <w:tcPr>
            <w:tcW w:w="1800" w:type="dxa"/>
          </w:tcPr>
          <w:p w:rsidR="00B00FAC" w:rsidRDefault="00B00FAC">
            <w:pPr>
              <w:rPr>
                <w:rFonts w:ascii="Times New Roman" w:hAnsi="Times New Roman" w:cs="Times New Roman"/>
                <w:sz w:val="24"/>
                <w:szCs w:val="24"/>
              </w:rPr>
            </w:pPr>
            <w:r>
              <w:rPr>
                <w:rFonts w:ascii="Times New Roman" w:hAnsi="Times New Roman" w:cs="Times New Roman"/>
                <w:sz w:val="24"/>
                <w:szCs w:val="24"/>
              </w:rPr>
              <w:lastRenderedPageBreak/>
              <w:t>(11.a-b)</w:t>
            </w:r>
          </w:p>
          <w:p w:rsidR="00855C1B" w:rsidRDefault="00855C1B">
            <w:pPr>
              <w:rPr>
                <w:rFonts w:ascii="Times New Roman" w:hAnsi="Times New Roman" w:cs="Times New Roman"/>
                <w:sz w:val="24"/>
                <w:szCs w:val="24"/>
              </w:rPr>
            </w:pPr>
          </w:p>
          <w:p w:rsidR="00855C1B" w:rsidRDefault="00855C1B">
            <w:pPr>
              <w:rPr>
                <w:rFonts w:ascii="Times New Roman" w:hAnsi="Times New Roman" w:cs="Times New Roman"/>
                <w:sz w:val="24"/>
                <w:szCs w:val="24"/>
              </w:rPr>
            </w:pPr>
          </w:p>
          <w:p w:rsidR="00855C1B" w:rsidRDefault="00855C1B">
            <w:pPr>
              <w:rPr>
                <w:rFonts w:ascii="Times New Roman" w:hAnsi="Times New Roman" w:cs="Times New Roman"/>
                <w:sz w:val="24"/>
                <w:szCs w:val="24"/>
              </w:rPr>
            </w:pPr>
            <w:r>
              <w:rPr>
                <w:rFonts w:ascii="Times New Roman" w:hAnsi="Times New Roman" w:cs="Times New Roman"/>
                <w:sz w:val="24"/>
                <w:szCs w:val="24"/>
              </w:rPr>
              <w:t>1</w:t>
            </w:r>
          </w:p>
        </w:tc>
        <w:tc>
          <w:tcPr>
            <w:tcW w:w="2988" w:type="dxa"/>
          </w:tcPr>
          <w:p w:rsidR="00B00FAC" w:rsidRPr="00A2133D" w:rsidRDefault="00B00FAC" w:rsidP="00A2133D">
            <w:pPr>
              <w:rPr>
                <w:rFonts w:ascii="Times New Roman" w:hAnsi="Times New Roman" w:cs="Times New Roman"/>
                <w:sz w:val="20"/>
                <w:szCs w:val="20"/>
              </w:rPr>
            </w:pPr>
            <w:r w:rsidRPr="00A2133D">
              <w:rPr>
                <w:rFonts w:ascii="Times New Roman" w:hAnsi="Times New Roman" w:cs="Times New Roman"/>
                <w:sz w:val="20"/>
                <w:szCs w:val="20"/>
              </w:rPr>
              <w:t xml:space="preserve">The Memphis Research Consortium (MRC) is empowered by the TN policymakers in a variety of ways. The MRC is encouraged </w:t>
            </w:r>
            <w:r w:rsidRPr="00A2133D">
              <w:rPr>
                <w:rFonts w:ascii="Times New Roman" w:hAnsi="Times New Roman" w:cs="Times New Roman"/>
                <w:sz w:val="20"/>
                <w:szCs w:val="20"/>
              </w:rPr>
              <w:lastRenderedPageBreak/>
              <w:t xml:space="preserve">by TN policymakers to develop strategies and plans for establishing and enhancing opportunities for research and development in private industries as well as public health services. While there is a public component, the MRC is largely encouraged to engage in industrial and commercial ventures. </w:t>
            </w:r>
            <w:r>
              <w:rPr>
                <w:rFonts w:ascii="Times New Roman" w:hAnsi="Times New Roman" w:cs="Times New Roman"/>
                <w:sz w:val="20"/>
                <w:szCs w:val="20"/>
              </w:rPr>
              <w:t xml:space="preserve">Partnering with the private sphere can blur the public mission of the public university (Slaughter &amp; Rhoades, 2004; Washburn, 2005). While there is a public health component, the MRC is a largely encouraged to undertake private sector initiatives, which could lead to the blurring of the public and private spheres, and the privileging of the private sector over the public good. </w:t>
            </w:r>
          </w:p>
        </w:tc>
      </w:tr>
    </w:tbl>
    <w:p w:rsidR="0050269C" w:rsidRDefault="0050269C">
      <w:pPr>
        <w:rPr>
          <w:rFonts w:ascii="Times New Roman" w:hAnsi="Times New Roman" w:cs="Times New Roman"/>
          <w:sz w:val="24"/>
          <w:szCs w:val="24"/>
        </w:rPr>
      </w:pPr>
    </w:p>
    <w:p w:rsidR="008205FD" w:rsidRDefault="008205FD">
      <w:pPr>
        <w:rPr>
          <w:rFonts w:ascii="Times New Roman" w:hAnsi="Times New Roman" w:cs="Times New Roman"/>
          <w:sz w:val="24"/>
          <w:szCs w:val="24"/>
        </w:rPr>
      </w:pPr>
    </w:p>
    <w:p w:rsidR="008205FD" w:rsidRPr="001D06F2" w:rsidRDefault="008205FD" w:rsidP="008205FD">
      <w:pPr>
        <w:rPr>
          <w:rFonts w:ascii="Times New Roman" w:hAnsi="Times New Roman" w:cs="Times New Roman"/>
          <w:sz w:val="24"/>
          <w:szCs w:val="24"/>
        </w:rPr>
      </w:pPr>
    </w:p>
    <w:sectPr w:rsidR="008205FD" w:rsidRPr="001D06F2" w:rsidSect="000E4EA7">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2"/>
  </w:compat>
  <w:rsids>
    <w:rsidRoot w:val="00257647"/>
    <w:rsid w:val="0000290A"/>
    <w:rsid w:val="00002A25"/>
    <w:rsid w:val="0000586C"/>
    <w:rsid w:val="00027E56"/>
    <w:rsid w:val="00066E3F"/>
    <w:rsid w:val="000705E9"/>
    <w:rsid w:val="00070663"/>
    <w:rsid w:val="00082A18"/>
    <w:rsid w:val="00095E62"/>
    <w:rsid w:val="000B2BF1"/>
    <w:rsid w:val="000B3C4A"/>
    <w:rsid w:val="000E22F1"/>
    <w:rsid w:val="000E4EA7"/>
    <w:rsid w:val="000F33AD"/>
    <w:rsid w:val="000F459C"/>
    <w:rsid w:val="00110B24"/>
    <w:rsid w:val="0013240E"/>
    <w:rsid w:val="00140E49"/>
    <w:rsid w:val="00194F98"/>
    <w:rsid w:val="001B22CA"/>
    <w:rsid w:val="001C58B8"/>
    <w:rsid w:val="001D06F2"/>
    <w:rsid w:val="001D276B"/>
    <w:rsid w:val="001D3052"/>
    <w:rsid w:val="00203AB3"/>
    <w:rsid w:val="00206486"/>
    <w:rsid w:val="00215116"/>
    <w:rsid w:val="0023208A"/>
    <w:rsid w:val="00257647"/>
    <w:rsid w:val="00265D5D"/>
    <w:rsid w:val="0027207C"/>
    <w:rsid w:val="0028382B"/>
    <w:rsid w:val="002C6DC2"/>
    <w:rsid w:val="002D77C5"/>
    <w:rsid w:val="002E1C98"/>
    <w:rsid w:val="00312D67"/>
    <w:rsid w:val="00326A1B"/>
    <w:rsid w:val="003637DA"/>
    <w:rsid w:val="00380B41"/>
    <w:rsid w:val="003816E0"/>
    <w:rsid w:val="00381A06"/>
    <w:rsid w:val="00391106"/>
    <w:rsid w:val="00397E27"/>
    <w:rsid w:val="003A3D4E"/>
    <w:rsid w:val="003E3C7A"/>
    <w:rsid w:val="00406232"/>
    <w:rsid w:val="00414F8E"/>
    <w:rsid w:val="004273FA"/>
    <w:rsid w:val="00466B18"/>
    <w:rsid w:val="00467A2D"/>
    <w:rsid w:val="00482CEC"/>
    <w:rsid w:val="00484198"/>
    <w:rsid w:val="00490B62"/>
    <w:rsid w:val="004A4845"/>
    <w:rsid w:val="004C124C"/>
    <w:rsid w:val="004C4C72"/>
    <w:rsid w:val="004D3FEB"/>
    <w:rsid w:val="004D5C09"/>
    <w:rsid w:val="004E52A2"/>
    <w:rsid w:val="004E6276"/>
    <w:rsid w:val="004F11E2"/>
    <w:rsid w:val="004F4001"/>
    <w:rsid w:val="0050269C"/>
    <w:rsid w:val="00525ED4"/>
    <w:rsid w:val="00556120"/>
    <w:rsid w:val="0056445F"/>
    <w:rsid w:val="005802D2"/>
    <w:rsid w:val="005972E9"/>
    <w:rsid w:val="005A42D9"/>
    <w:rsid w:val="005A5917"/>
    <w:rsid w:val="005B6E30"/>
    <w:rsid w:val="005E7B21"/>
    <w:rsid w:val="005F44B9"/>
    <w:rsid w:val="005F7291"/>
    <w:rsid w:val="00626E1C"/>
    <w:rsid w:val="00627A58"/>
    <w:rsid w:val="00633B8A"/>
    <w:rsid w:val="00640B5E"/>
    <w:rsid w:val="0065686A"/>
    <w:rsid w:val="00674E64"/>
    <w:rsid w:val="00695853"/>
    <w:rsid w:val="006A1184"/>
    <w:rsid w:val="006C5705"/>
    <w:rsid w:val="006D2FDD"/>
    <w:rsid w:val="0070081D"/>
    <w:rsid w:val="00710C19"/>
    <w:rsid w:val="00716A89"/>
    <w:rsid w:val="007337B6"/>
    <w:rsid w:val="00733FAE"/>
    <w:rsid w:val="00746DE3"/>
    <w:rsid w:val="00763BF1"/>
    <w:rsid w:val="00774EB8"/>
    <w:rsid w:val="00781284"/>
    <w:rsid w:val="007822A3"/>
    <w:rsid w:val="007C755E"/>
    <w:rsid w:val="007E3CC1"/>
    <w:rsid w:val="008205FD"/>
    <w:rsid w:val="00825A7D"/>
    <w:rsid w:val="00832051"/>
    <w:rsid w:val="008322EA"/>
    <w:rsid w:val="008350C6"/>
    <w:rsid w:val="008373E4"/>
    <w:rsid w:val="008441C5"/>
    <w:rsid w:val="00855C1B"/>
    <w:rsid w:val="0085626D"/>
    <w:rsid w:val="0086087A"/>
    <w:rsid w:val="00861AE8"/>
    <w:rsid w:val="00867D0A"/>
    <w:rsid w:val="00887E8D"/>
    <w:rsid w:val="00891BEC"/>
    <w:rsid w:val="00892BB6"/>
    <w:rsid w:val="008A5EB5"/>
    <w:rsid w:val="008C0383"/>
    <w:rsid w:val="008D155F"/>
    <w:rsid w:val="008D2022"/>
    <w:rsid w:val="008E7061"/>
    <w:rsid w:val="00910004"/>
    <w:rsid w:val="00923858"/>
    <w:rsid w:val="00934FAB"/>
    <w:rsid w:val="00947280"/>
    <w:rsid w:val="00966A2F"/>
    <w:rsid w:val="00986D02"/>
    <w:rsid w:val="00987D2B"/>
    <w:rsid w:val="009A4C4C"/>
    <w:rsid w:val="009B4932"/>
    <w:rsid w:val="009C1C88"/>
    <w:rsid w:val="00A2133D"/>
    <w:rsid w:val="00A2608F"/>
    <w:rsid w:val="00A300C5"/>
    <w:rsid w:val="00A43004"/>
    <w:rsid w:val="00A56D0E"/>
    <w:rsid w:val="00A7154F"/>
    <w:rsid w:val="00A75449"/>
    <w:rsid w:val="00A92574"/>
    <w:rsid w:val="00AB583B"/>
    <w:rsid w:val="00AD6592"/>
    <w:rsid w:val="00AE1B5D"/>
    <w:rsid w:val="00AE4B50"/>
    <w:rsid w:val="00AE672A"/>
    <w:rsid w:val="00AF2679"/>
    <w:rsid w:val="00B0063B"/>
    <w:rsid w:val="00B00FAC"/>
    <w:rsid w:val="00B1476D"/>
    <w:rsid w:val="00B20182"/>
    <w:rsid w:val="00B363BE"/>
    <w:rsid w:val="00B41180"/>
    <w:rsid w:val="00B43B5A"/>
    <w:rsid w:val="00B45652"/>
    <w:rsid w:val="00B511CD"/>
    <w:rsid w:val="00B542DE"/>
    <w:rsid w:val="00B579D3"/>
    <w:rsid w:val="00B62E3E"/>
    <w:rsid w:val="00B668EB"/>
    <w:rsid w:val="00B70F0E"/>
    <w:rsid w:val="00B72C91"/>
    <w:rsid w:val="00B82DEB"/>
    <w:rsid w:val="00BA2A9A"/>
    <w:rsid w:val="00BC67D8"/>
    <w:rsid w:val="00BC7F0B"/>
    <w:rsid w:val="00BD37FB"/>
    <w:rsid w:val="00BE0DBA"/>
    <w:rsid w:val="00BF1B26"/>
    <w:rsid w:val="00BF5363"/>
    <w:rsid w:val="00C02D88"/>
    <w:rsid w:val="00C20D25"/>
    <w:rsid w:val="00C32309"/>
    <w:rsid w:val="00C35D41"/>
    <w:rsid w:val="00C46BA0"/>
    <w:rsid w:val="00C573E2"/>
    <w:rsid w:val="00C57E63"/>
    <w:rsid w:val="00C72FC3"/>
    <w:rsid w:val="00C73AC8"/>
    <w:rsid w:val="00C7407C"/>
    <w:rsid w:val="00CE6C72"/>
    <w:rsid w:val="00CE7FAC"/>
    <w:rsid w:val="00CF532B"/>
    <w:rsid w:val="00D0416F"/>
    <w:rsid w:val="00D14E2B"/>
    <w:rsid w:val="00D64EDB"/>
    <w:rsid w:val="00D653D1"/>
    <w:rsid w:val="00D9124B"/>
    <w:rsid w:val="00DA521E"/>
    <w:rsid w:val="00DB5F73"/>
    <w:rsid w:val="00DC0E67"/>
    <w:rsid w:val="00DD5D13"/>
    <w:rsid w:val="00DD60F1"/>
    <w:rsid w:val="00DE78CF"/>
    <w:rsid w:val="00DE7D27"/>
    <w:rsid w:val="00DF6DDB"/>
    <w:rsid w:val="00E1197D"/>
    <w:rsid w:val="00E2221F"/>
    <w:rsid w:val="00E50D69"/>
    <w:rsid w:val="00E53C01"/>
    <w:rsid w:val="00E9507E"/>
    <w:rsid w:val="00E9525E"/>
    <w:rsid w:val="00EA2766"/>
    <w:rsid w:val="00EA7073"/>
    <w:rsid w:val="00ED145A"/>
    <w:rsid w:val="00F075E2"/>
    <w:rsid w:val="00F25E78"/>
    <w:rsid w:val="00F27D21"/>
    <w:rsid w:val="00F32026"/>
    <w:rsid w:val="00F338E7"/>
    <w:rsid w:val="00F52206"/>
    <w:rsid w:val="00F679DD"/>
    <w:rsid w:val="00F755B0"/>
    <w:rsid w:val="00FB2F9F"/>
    <w:rsid w:val="00FE09F0"/>
    <w:rsid w:val="00FE0E8C"/>
    <w:rsid w:val="00FE377B"/>
    <w:rsid w:val="00FF0D28"/>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240E"/>
    <w:pPr>
      <w:spacing w:before="100" w:beforeAutospacing="1" w:after="100" w:afterAutospacing="1" w:line="240" w:lineRule="auto"/>
      <w:ind w:firstLine="720"/>
      <w:contextualSpacing/>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66B18"/>
    <w:pPr>
      <w:ind w:left="720"/>
      <w:contextualSpacing/>
    </w:pPr>
  </w:style>
  <w:style w:type="paragraph" w:styleId="Caption">
    <w:name w:val="caption"/>
    <w:basedOn w:val="Normal"/>
    <w:next w:val="Normal"/>
    <w:uiPriority w:val="35"/>
    <w:unhideWhenUsed/>
    <w:qFormat/>
    <w:rsid w:val="008A5EB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2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7583">
      <w:bodyDiv w:val="1"/>
      <w:marLeft w:val="0"/>
      <w:marRight w:val="0"/>
      <w:marTop w:val="0"/>
      <w:marBottom w:val="0"/>
      <w:divBdr>
        <w:top w:val="none" w:sz="0" w:space="0" w:color="auto"/>
        <w:left w:val="none" w:sz="0" w:space="0" w:color="auto"/>
        <w:bottom w:val="none" w:sz="0" w:space="0" w:color="auto"/>
        <w:right w:val="none" w:sz="0" w:space="0" w:color="auto"/>
      </w:divBdr>
    </w:div>
    <w:div w:id="10056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Grad%20Work\WM\790%20Dissertation\790%20assignments\TN%20IPO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rad%20Work\WM\790%20Dissertation\790%20assignments\TN%20u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rad%20Work\WM\790%20Dissertation\790%20assignments\TN%20e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Sheet1!$A$1:$A$4</c:f>
              <c:strCache>
                <c:ptCount val="4"/>
                <c:pt idx="0">
                  <c:v>Inputs</c:v>
                </c:pt>
                <c:pt idx="1">
                  <c:v>Processes</c:v>
                </c:pt>
                <c:pt idx="2">
                  <c:v>Outputs</c:v>
                </c:pt>
                <c:pt idx="3">
                  <c:v>Outcomes</c:v>
                </c:pt>
              </c:strCache>
            </c:strRef>
          </c:cat>
          <c:val>
            <c:numRef>
              <c:f>Sheet1!$B$1:$B$4</c:f>
              <c:numCache>
                <c:formatCode>General</c:formatCode>
                <c:ptCount val="4"/>
                <c:pt idx="0">
                  <c:v>2</c:v>
                </c:pt>
                <c:pt idx="1">
                  <c:v>16</c:v>
                </c:pt>
                <c:pt idx="2">
                  <c:v>9</c:v>
                </c:pt>
                <c:pt idx="3">
                  <c:v>10</c:v>
                </c:pt>
              </c:numCache>
            </c:numRef>
          </c:val>
        </c:ser>
        <c:dLbls>
          <c:showLegendKey val="0"/>
          <c:showVal val="0"/>
          <c:showCatName val="0"/>
          <c:showSerName val="0"/>
          <c:showPercent val="0"/>
          <c:showBubbleSize val="0"/>
        </c:dLbls>
        <c:gapWidth val="150"/>
        <c:axId val="72288896"/>
        <c:axId val="72639232"/>
      </c:barChart>
      <c:catAx>
        <c:axId val="72288896"/>
        <c:scaling>
          <c:orientation val="minMax"/>
        </c:scaling>
        <c:delete val="0"/>
        <c:axPos val="b"/>
        <c:majorTickMark val="out"/>
        <c:minorTickMark val="none"/>
        <c:tickLblPos val="nextTo"/>
        <c:crossAx val="72639232"/>
        <c:crosses val="autoZero"/>
        <c:auto val="1"/>
        <c:lblAlgn val="ctr"/>
        <c:lblOffset val="100"/>
        <c:noMultiLvlLbl val="0"/>
      </c:catAx>
      <c:valAx>
        <c:axId val="72639232"/>
        <c:scaling>
          <c:orientation val="minMax"/>
        </c:scaling>
        <c:delete val="0"/>
        <c:axPos val="l"/>
        <c:majorGridlines/>
        <c:numFmt formatCode="General" sourceLinked="1"/>
        <c:majorTickMark val="out"/>
        <c:minorTickMark val="none"/>
        <c:tickLblPos val="nextTo"/>
        <c:crossAx val="722888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Sheet1!$A$1:$A$12</c:f>
              <c:strCache>
                <c:ptCount val="12"/>
                <c:pt idx="0">
                  <c:v>market growth</c:v>
                </c:pt>
                <c:pt idx="1">
                  <c:v>efficiency </c:v>
                </c:pt>
                <c:pt idx="2">
                  <c:v>vocational</c:v>
                </c:pt>
                <c:pt idx="3">
                  <c:v>accountablity </c:v>
                </c:pt>
                <c:pt idx="4">
                  <c:v>public/private</c:v>
                </c:pt>
                <c:pt idx="5">
                  <c:v>tuition </c:v>
                </c:pt>
                <c:pt idx="6">
                  <c:v>competition</c:v>
                </c:pt>
                <c:pt idx="7">
                  <c:v>knowledge economy</c:v>
                </c:pt>
                <c:pt idx="8">
                  <c:v>STEM</c:v>
                </c:pt>
                <c:pt idx="9">
                  <c:v>online</c:v>
                </c:pt>
                <c:pt idx="10">
                  <c:v>prestige</c:v>
                </c:pt>
                <c:pt idx="11">
                  <c:v>oversight</c:v>
                </c:pt>
              </c:strCache>
            </c:strRef>
          </c:cat>
          <c:val>
            <c:numRef>
              <c:f>Sheet1!$B$1:$B$12</c:f>
              <c:numCache>
                <c:formatCode>General</c:formatCode>
                <c:ptCount val="12"/>
                <c:pt idx="0">
                  <c:v>9</c:v>
                </c:pt>
                <c:pt idx="1">
                  <c:v>11</c:v>
                </c:pt>
                <c:pt idx="2">
                  <c:v>4</c:v>
                </c:pt>
                <c:pt idx="3">
                  <c:v>16</c:v>
                </c:pt>
                <c:pt idx="4">
                  <c:v>13</c:v>
                </c:pt>
                <c:pt idx="5">
                  <c:v>3</c:v>
                </c:pt>
                <c:pt idx="6">
                  <c:v>2</c:v>
                </c:pt>
                <c:pt idx="7">
                  <c:v>0</c:v>
                </c:pt>
                <c:pt idx="8">
                  <c:v>10</c:v>
                </c:pt>
                <c:pt idx="9">
                  <c:v>0</c:v>
                </c:pt>
                <c:pt idx="10">
                  <c:v>1</c:v>
                </c:pt>
                <c:pt idx="11">
                  <c:v>25</c:v>
                </c:pt>
              </c:numCache>
            </c:numRef>
          </c:val>
        </c:ser>
        <c:dLbls>
          <c:showLegendKey val="0"/>
          <c:showVal val="0"/>
          <c:showCatName val="0"/>
          <c:showSerName val="0"/>
          <c:showPercent val="0"/>
          <c:showBubbleSize val="0"/>
        </c:dLbls>
        <c:gapWidth val="150"/>
        <c:axId val="72646016"/>
        <c:axId val="53216384"/>
      </c:barChart>
      <c:catAx>
        <c:axId val="72646016"/>
        <c:scaling>
          <c:orientation val="minMax"/>
        </c:scaling>
        <c:delete val="0"/>
        <c:axPos val="b"/>
        <c:majorTickMark val="out"/>
        <c:minorTickMark val="none"/>
        <c:tickLblPos val="nextTo"/>
        <c:crossAx val="53216384"/>
        <c:crosses val="autoZero"/>
        <c:auto val="1"/>
        <c:lblAlgn val="ctr"/>
        <c:lblOffset val="100"/>
        <c:noMultiLvlLbl val="0"/>
      </c:catAx>
      <c:valAx>
        <c:axId val="53216384"/>
        <c:scaling>
          <c:orientation val="minMax"/>
        </c:scaling>
        <c:delete val="0"/>
        <c:axPos val="l"/>
        <c:majorGridlines/>
        <c:numFmt formatCode="General" sourceLinked="1"/>
        <c:majorTickMark val="out"/>
        <c:minorTickMark val="none"/>
        <c:tickLblPos val="nextTo"/>
        <c:crossAx val="72646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Sheet1!$A$1:$A$20</c:f>
              <c:strCache>
                <c:ptCount val="20"/>
                <c:pt idx="0">
                  <c:v>Health/life expectancy</c:v>
                </c:pt>
                <c:pt idx="1">
                  <c:v>Poverty reduction/financial assistance</c:v>
                </c:pt>
                <c:pt idx="2">
                  <c:v>General happiness</c:v>
                </c:pt>
                <c:pt idx="3">
                  <c:v>Non-market knowledge and research</c:v>
                </c:pt>
                <c:pt idx="4">
                  <c:v>Art, literature, theater</c:v>
                </c:pt>
                <c:pt idx="5">
                  <c:v>Cultural diversity</c:v>
                </c:pt>
                <c:pt idx="6">
                  <c:v>Pedagogy</c:v>
                </c:pt>
                <c:pt idx="7">
                  <c:v>College mission</c:v>
                </c:pt>
                <c:pt idx="8">
                  <c:v>Enhancing citizenship/public service</c:v>
                </c:pt>
                <c:pt idx="9">
                  <c:v>Liberal arts</c:v>
                </c:pt>
                <c:pt idx="10">
                  <c:v>Externalities/social benefits</c:v>
                </c:pt>
                <c:pt idx="11">
                  <c:v>Social transformation/social criticism  </c:v>
                </c:pt>
                <c:pt idx="12">
                  <c:v>Reduced crime rate</c:v>
                </c:pt>
                <c:pt idx="13">
                  <c:v>Interdisciplinarity/ global linkages</c:v>
                </c:pt>
                <c:pt idx="14">
                  <c:v>Social contract/resident enrollment</c:v>
                </c:pt>
                <c:pt idx="15">
                  <c:v>Institutional autonomy</c:v>
                </c:pt>
                <c:pt idx="16">
                  <c:v>Pollution reduction/clean air</c:v>
                </c:pt>
                <c:pt idx="17">
                  <c:v>Global public goods/national/regional local goods or publics</c:v>
                </c:pt>
                <c:pt idx="18">
                  <c:v>Deliberate inter-generational concerns</c:v>
                </c:pt>
                <c:pt idx="19">
                  <c:v>Just use of STEM</c:v>
                </c:pt>
              </c:strCache>
            </c:strRef>
          </c:cat>
          <c:val>
            <c:numRef>
              <c:f>Sheet1!$B$1:$B$20</c:f>
              <c:numCache>
                <c:formatCode>General</c:formatCode>
                <c:ptCount val="20"/>
                <c:pt idx="0">
                  <c:v>8</c:v>
                </c:pt>
                <c:pt idx="1">
                  <c:v>0</c:v>
                </c:pt>
                <c:pt idx="2">
                  <c:v>0</c:v>
                </c:pt>
                <c:pt idx="3">
                  <c:v>0</c:v>
                </c:pt>
                <c:pt idx="4">
                  <c:v>0</c:v>
                </c:pt>
                <c:pt idx="5">
                  <c:v>0</c:v>
                </c:pt>
                <c:pt idx="6">
                  <c:v>0</c:v>
                </c:pt>
                <c:pt idx="7">
                  <c:v>7</c:v>
                </c:pt>
                <c:pt idx="8">
                  <c:v>2</c:v>
                </c:pt>
                <c:pt idx="9">
                  <c:v>0</c:v>
                </c:pt>
                <c:pt idx="10">
                  <c:v>0</c:v>
                </c:pt>
                <c:pt idx="11">
                  <c:v>0</c:v>
                </c:pt>
                <c:pt idx="12">
                  <c:v>0</c:v>
                </c:pt>
                <c:pt idx="13">
                  <c:v>2</c:v>
                </c:pt>
                <c:pt idx="14">
                  <c:v>4</c:v>
                </c:pt>
                <c:pt idx="15">
                  <c:v>0</c:v>
                </c:pt>
                <c:pt idx="16">
                  <c:v>1</c:v>
                </c:pt>
                <c:pt idx="17">
                  <c:v>0</c:v>
                </c:pt>
                <c:pt idx="18">
                  <c:v>0</c:v>
                </c:pt>
                <c:pt idx="19">
                  <c:v>1</c:v>
                </c:pt>
              </c:numCache>
            </c:numRef>
          </c:val>
        </c:ser>
        <c:dLbls>
          <c:showLegendKey val="0"/>
          <c:showVal val="0"/>
          <c:showCatName val="0"/>
          <c:showSerName val="0"/>
          <c:showPercent val="0"/>
          <c:showBubbleSize val="0"/>
        </c:dLbls>
        <c:gapWidth val="150"/>
        <c:axId val="57860864"/>
        <c:axId val="57862400"/>
      </c:barChart>
      <c:catAx>
        <c:axId val="57860864"/>
        <c:scaling>
          <c:orientation val="minMax"/>
        </c:scaling>
        <c:delete val="0"/>
        <c:axPos val="b"/>
        <c:majorTickMark val="out"/>
        <c:minorTickMark val="none"/>
        <c:tickLblPos val="nextTo"/>
        <c:crossAx val="57862400"/>
        <c:crosses val="autoZero"/>
        <c:auto val="1"/>
        <c:lblAlgn val="ctr"/>
        <c:lblOffset val="100"/>
        <c:noMultiLvlLbl val="0"/>
      </c:catAx>
      <c:valAx>
        <c:axId val="57862400"/>
        <c:scaling>
          <c:orientation val="minMax"/>
        </c:scaling>
        <c:delete val="0"/>
        <c:axPos val="l"/>
        <c:majorGridlines/>
        <c:numFmt formatCode="General" sourceLinked="1"/>
        <c:majorTickMark val="out"/>
        <c:minorTickMark val="none"/>
        <c:tickLblPos val="nextTo"/>
        <c:crossAx val="578608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2406</TotalTime>
  <Pages>19</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TroyCozy</dc:creator>
  <cp:lastModifiedBy>TroyCozy</cp:lastModifiedBy>
  <cp:revision>62</cp:revision>
  <dcterms:created xsi:type="dcterms:W3CDTF">2014-03-30T14:15:00Z</dcterms:created>
  <dcterms:modified xsi:type="dcterms:W3CDTF">2014-11-13T03:05:00Z</dcterms:modified>
</cp:coreProperties>
</file>